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698B2D" w14:textId="77777777" w:rsidR="00EE47EA" w:rsidRPr="006A7CDC" w:rsidRDefault="00B74CCA" w:rsidP="00133544">
      <w:pPr>
        <w:ind w:left="720" w:hanging="720"/>
        <w:jc w:val="both"/>
        <w:rPr>
          <w:b/>
          <w:color w:val="0070C0"/>
          <w:sz w:val="28"/>
        </w:rPr>
      </w:pPr>
      <w:bookmarkStart w:id="0" w:name="_Hlk37253865"/>
      <w:r w:rsidRPr="006A7CDC">
        <w:rPr>
          <w:noProof/>
          <w:color w:val="0070C0"/>
          <w:sz w:val="28"/>
        </w:rPr>
        <w:drawing>
          <wp:anchor distT="0" distB="0" distL="114300" distR="114300" simplePos="0" relativeHeight="251657728" behindDoc="0" locked="0" layoutInCell="1" allowOverlap="1" wp14:anchorId="7876C321" wp14:editId="7F28D420">
            <wp:simplePos x="0" y="0"/>
            <wp:positionH relativeFrom="margin">
              <wp:posOffset>5457825</wp:posOffset>
            </wp:positionH>
            <wp:positionV relativeFrom="paragraph">
              <wp:posOffset>-285750</wp:posOffset>
            </wp:positionV>
            <wp:extent cx="723900" cy="1546860"/>
            <wp:effectExtent l="0" t="0" r="0" b="0"/>
            <wp:wrapThrough wrapText="bothSides">
              <wp:wrapPolygon edited="0">
                <wp:start x="1137" y="0"/>
                <wp:lineTo x="0" y="16493"/>
                <wp:lineTo x="0" y="19419"/>
                <wp:lineTo x="1137" y="19951"/>
                <wp:lineTo x="21032" y="19951"/>
                <wp:lineTo x="21032" y="17025"/>
                <wp:lineTo x="19326" y="0"/>
                <wp:lineTo x="113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40F52CA">
        <w:rPr>
          <w:b/>
          <w:bCs/>
          <w:color w:val="0070C0"/>
          <w:sz w:val="32"/>
          <w:szCs w:val="32"/>
        </w:rPr>
        <w:t xml:space="preserve"> </w:t>
      </w:r>
      <w:r w:rsidR="00DA1345" w:rsidRPr="040F52CA">
        <w:rPr>
          <w:b/>
          <w:bCs/>
          <w:color w:val="0070C0"/>
          <w:sz w:val="32"/>
          <w:szCs w:val="32"/>
        </w:rPr>
        <w:t>R</w:t>
      </w:r>
      <w:r w:rsidR="00587847" w:rsidRPr="040F52CA">
        <w:rPr>
          <w:b/>
          <w:bCs/>
          <w:color w:val="0070C0"/>
          <w:sz w:val="32"/>
          <w:szCs w:val="32"/>
        </w:rPr>
        <w:t xml:space="preserve">equest </w:t>
      </w:r>
      <w:r w:rsidR="00DA1345" w:rsidRPr="040F52CA">
        <w:rPr>
          <w:b/>
          <w:bCs/>
          <w:color w:val="0070C0"/>
          <w:sz w:val="32"/>
          <w:szCs w:val="32"/>
        </w:rPr>
        <w:t xml:space="preserve">for </w:t>
      </w:r>
      <w:r w:rsidR="00F749E3" w:rsidRPr="040F52CA">
        <w:rPr>
          <w:b/>
          <w:bCs/>
          <w:color w:val="0070C0"/>
          <w:sz w:val="32"/>
          <w:szCs w:val="32"/>
        </w:rPr>
        <w:t xml:space="preserve">Country Allocation of </w:t>
      </w:r>
      <w:r w:rsidR="00587847" w:rsidRPr="040F52CA">
        <w:rPr>
          <w:b/>
          <w:bCs/>
          <w:color w:val="0070C0"/>
          <w:sz w:val="32"/>
          <w:szCs w:val="32"/>
        </w:rPr>
        <w:t xml:space="preserve">UNDP </w:t>
      </w:r>
      <w:bookmarkStart w:id="1" w:name="_Hlk39315203"/>
      <w:r w:rsidR="00F749E3" w:rsidRPr="040F52CA">
        <w:rPr>
          <w:b/>
          <w:bCs/>
          <w:color w:val="0070C0"/>
          <w:sz w:val="32"/>
          <w:szCs w:val="32"/>
        </w:rPr>
        <w:t>COVID-19 Rapid Response Facility Resources for L3 COVID-19 Crisis</w:t>
      </w:r>
      <w:bookmarkEnd w:id="1"/>
    </w:p>
    <w:p w14:paraId="610D365B" w14:textId="77777777" w:rsidR="00513942" w:rsidRPr="006A7CDC" w:rsidRDefault="00513942" w:rsidP="006A7CDC">
      <w:pPr>
        <w:jc w:val="both"/>
        <w:rPr>
          <w:b/>
        </w:rPr>
      </w:pPr>
    </w:p>
    <w:p w14:paraId="52EB2862" w14:textId="29A30F6D" w:rsidR="00977A64" w:rsidRPr="006A7CDC" w:rsidRDefault="00977A64" w:rsidP="040F52CA">
      <w:pPr>
        <w:jc w:val="both"/>
        <w:rPr>
          <w:b/>
          <w:bCs/>
        </w:rPr>
      </w:pPr>
    </w:p>
    <w:p w14:paraId="227923F3" w14:textId="77777777" w:rsidR="00EC788B" w:rsidRPr="006A7CDC" w:rsidRDefault="00EC788B" w:rsidP="006A7CDC">
      <w:pPr>
        <w:jc w:val="both"/>
      </w:pPr>
      <w:r w:rsidRPr="006A7CDC">
        <w:rPr>
          <w:b/>
        </w:rPr>
        <w:t>Country:</w:t>
      </w:r>
      <w:r w:rsidRPr="006A7CDC">
        <w:t xml:space="preserve"> </w:t>
      </w:r>
      <w:r w:rsidR="00125058" w:rsidRPr="006A7CDC">
        <w:t xml:space="preserve"> </w:t>
      </w:r>
      <w:r w:rsidR="00DE3397" w:rsidRPr="006A7CDC">
        <w:t>Libya</w:t>
      </w:r>
    </w:p>
    <w:p w14:paraId="1C64EDC8" w14:textId="30C85E3A" w:rsidR="009172F6" w:rsidRPr="006A7CDC" w:rsidRDefault="009168B6" w:rsidP="006A7CDC">
      <w:pPr>
        <w:jc w:val="both"/>
        <w:rPr>
          <w:bCs/>
        </w:rPr>
      </w:pPr>
      <w:r w:rsidRPr="006A7CDC">
        <w:rPr>
          <w:b/>
        </w:rPr>
        <w:t xml:space="preserve">Date: </w:t>
      </w:r>
      <w:r w:rsidR="00905357" w:rsidRPr="00905357">
        <w:rPr>
          <w:bCs/>
        </w:rPr>
        <w:t>1</w:t>
      </w:r>
      <w:r w:rsidR="00905357">
        <w:rPr>
          <w:bCs/>
        </w:rPr>
        <w:t>4</w:t>
      </w:r>
      <w:r w:rsidR="00DE3397" w:rsidRPr="006A7CDC">
        <w:rPr>
          <w:bCs/>
        </w:rPr>
        <w:t xml:space="preserve"> April 2020</w:t>
      </w:r>
    </w:p>
    <w:p w14:paraId="6702D697" w14:textId="77777777" w:rsidR="009172F6" w:rsidRPr="006A7CDC" w:rsidRDefault="009172F6" w:rsidP="006A7CDC">
      <w:pPr>
        <w:jc w:val="both"/>
        <w:rPr>
          <w:b/>
          <w:bCs/>
        </w:rPr>
      </w:pPr>
    </w:p>
    <w:p w14:paraId="72EF3CE3" w14:textId="77777777" w:rsidR="00EC788B" w:rsidRPr="006A7CDC" w:rsidRDefault="00A16F8B" w:rsidP="006A7CDC">
      <w:pPr>
        <w:jc w:val="both"/>
        <w:rPr>
          <w:b/>
          <w:sz w:val="22"/>
        </w:rPr>
      </w:pPr>
      <w:r w:rsidRPr="006A7CDC">
        <w:rPr>
          <w:b/>
          <w:sz w:val="22"/>
        </w:rPr>
        <w:t>1</w:t>
      </w:r>
      <w:r w:rsidR="007253BE" w:rsidRPr="006A7CDC">
        <w:rPr>
          <w:b/>
          <w:sz w:val="22"/>
        </w:rPr>
        <w:t xml:space="preserve">. </w:t>
      </w:r>
      <w:r w:rsidR="004357C5" w:rsidRPr="006A7CDC">
        <w:rPr>
          <w:b/>
          <w:sz w:val="22"/>
        </w:rPr>
        <w:t>S</w:t>
      </w:r>
      <w:r w:rsidR="00EC788B" w:rsidRPr="006A7CDC">
        <w:rPr>
          <w:b/>
          <w:sz w:val="22"/>
        </w:rPr>
        <w:t>ITUATION ANALYSIS</w:t>
      </w:r>
    </w:p>
    <w:p w14:paraId="5EFFCF18" w14:textId="69B1C427" w:rsidR="00E11B89" w:rsidRPr="006A7CDC" w:rsidRDefault="00905357" w:rsidP="00602DEA">
      <w:pPr>
        <w:spacing w:before="120" w:line="259" w:lineRule="auto"/>
        <w:jc w:val="both"/>
        <w:rPr>
          <w:color w:val="FF0000"/>
          <w:sz w:val="22"/>
          <w:szCs w:val="22"/>
        </w:rPr>
      </w:pPr>
      <w:bookmarkStart w:id="2" w:name="_Hlk40259076"/>
      <w:r w:rsidRPr="6DBDFD51">
        <w:rPr>
          <w:b/>
          <w:bCs/>
          <w:sz w:val="22"/>
          <w:szCs w:val="22"/>
        </w:rPr>
        <w:t xml:space="preserve">As of </w:t>
      </w:r>
      <w:r>
        <w:rPr>
          <w:b/>
          <w:bCs/>
          <w:sz w:val="22"/>
          <w:szCs w:val="22"/>
        </w:rPr>
        <w:t>13</w:t>
      </w:r>
      <w:r w:rsidRPr="6DBDFD51">
        <w:rPr>
          <w:b/>
          <w:bCs/>
          <w:sz w:val="22"/>
          <w:szCs w:val="22"/>
        </w:rPr>
        <w:t xml:space="preserve"> April, Libya has a total of 2</w:t>
      </w:r>
      <w:r>
        <w:rPr>
          <w:b/>
          <w:bCs/>
          <w:sz w:val="22"/>
          <w:szCs w:val="22"/>
        </w:rPr>
        <w:t>6</w:t>
      </w:r>
      <w:r w:rsidRPr="6DBDFD51">
        <w:rPr>
          <w:b/>
          <w:bCs/>
          <w:sz w:val="22"/>
          <w:szCs w:val="22"/>
        </w:rPr>
        <w:t xml:space="preserve"> officially reported cases of COVID-19 and one fatality – a number that reflects the low level of testing (only </w:t>
      </w:r>
      <w:r>
        <w:rPr>
          <w:b/>
          <w:bCs/>
          <w:sz w:val="22"/>
          <w:szCs w:val="22"/>
        </w:rPr>
        <w:t>535</w:t>
      </w:r>
      <w:r w:rsidRPr="6DBDFD51">
        <w:rPr>
          <w:b/>
          <w:bCs/>
          <w:sz w:val="22"/>
          <w:szCs w:val="22"/>
        </w:rPr>
        <w:t xml:space="preserve"> people have been tested to date) rather than the actual status of infection in the country.</w:t>
      </w:r>
      <w:r w:rsidRPr="6DBDFD51">
        <w:rPr>
          <w:sz w:val="22"/>
          <w:szCs w:val="22"/>
        </w:rPr>
        <w:t xml:space="preserve">  </w:t>
      </w:r>
      <w:r w:rsidR="00B03546" w:rsidRPr="6DBDFD51">
        <w:rPr>
          <w:sz w:val="22"/>
          <w:szCs w:val="22"/>
        </w:rPr>
        <w:t xml:space="preserve">Although the first cases of reported infection were imported from </w:t>
      </w:r>
      <w:r w:rsidR="00921368" w:rsidRPr="6DBDFD51">
        <w:rPr>
          <w:sz w:val="22"/>
          <w:szCs w:val="22"/>
        </w:rPr>
        <w:t>other countries, local transmission is now the driver of new cases.</w:t>
      </w:r>
      <w:r w:rsidR="00CC5D9C" w:rsidRPr="6DBDFD51">
        <w:rPr>
          <w:rStyle w:val="FootnoteReference"/>
          <w:sz w:val="22"/>
          <w:szCs w:val="22"/>
        </w:rPr>
        <w:footnoteReference w:id="1"/>
      </w:r>
      <w:r w:rsidR="00921368" w:rsidRPr="6DBDFD51">
        <w:rPr>
          <w:sz w:val="22"/>
          <w:szCs w:val="22"/>
        </w:rPr>
        <w:t xml:space="preserve"> </w:t>
      </w:r>
      <w:r w:rsidR="00353CF7" w:rsidRPr="6DBDFD51">
        <w:rPr>
          <w:sz w:val="22"/>
          <w:szCs w:val="22"/>
        </w:rPr>
        <w:t xml:space="preserve">The Global Health Security Index </w:t>
      </w:r>
      <w:r w:rsidR="00597D79" w:rsidRPr="6DBDFD51">
        <w:rPr>
          <w:sz w:val="22"/>
          <w:szCs w:val="22"/>
        </w:rPr>
        <w:t xml:space="preserve">(March 2020) </w:t>
      </w:r>
      <w:r w:rsidR="00E11B89" w:rsidRPr="6DBDFD51">
        <w:rPr>
          <w:sz w:val="22"/>
          <w:szCs w:val="22"/>
        </w:rPr>
        <w:t>rates Libya as one of the most vulnerable countries to emerging outbreaks, and WHO rates Libya as “high-risk” for COVID-19.</w:t>
      </w:r>
      <w:r w:rsidR="002D7727" w:rsidRPr="6DBDFD51">
        <w:rPr>
          <w:sz w:val="22"/>
          <w:szCs w:val="22"/>
        </w:rPr>
        <w:t xml:space="preserve"> Given that Libya is a major gateway for migrants and refugees hoping to reach Europe</w:t>
      </w:r>
      <w:r w:rsidR="00C76101" w:rsidRPr="6DBDFD51">
        <w:rPr>
          <w:sz w:val="22"/>
          <w:szCs w:val="22"/>
        </w:rPr>
        <w:t xml:space="preserve">, and </w:t>
      </w:r>
      <w:r w:rsidR="007C66A1" w:rsidRPr="6DBDFD51">
        <w:rPr>
          <w:sz w:val="22"/>
          <w:szCs w:val="22"/>
        </w:rPr>
        <w:t xml:space="preserve">many communities are </w:t>
      </w:r>
      <w:r w:rsidR="002B7A14" w:rsidRPr="6DBDFD51">
        <w:rPr>
          <w:sz w:val="22"/>
          <w:szCs w:val="22"/>
        </w:rPr>
        <w:t xml:space="preserve">continuing to </w:t>
      </w:r>
      <w:r w:rsidR="007C66A1" w:rsidRPr="6DBDFD51">
        <w:rPr>
          <w:sz w:val="22"/>
          <w:szCs w:val="22"/>
        </w:rPr>
        <w:t xml:space="preserve">engage in informal cross-border trade and </w:t>
      </w:r>
      <w:r w:rsidR="002B7A14" w:rsidRPr="6DBDFD51">
        <w:rPr>
          <w:sz w:val="22"/>
          <w:szCs w:val="22"/>
        </w:rPr>
        <w:t>receive</w:t>
      </w:r>
      <w:r w:rsidR="00723D5A" w:rsidRPr="6DBDFD51">
        <w:rPr>
          <w:sz w:val="22"/>
          <w:szCs w:val="22"/>
        </w:rPr>
        <w:t xml:space="preserve"> an</w:t>
      </w:r>
      <w:r w:rsidR="002B7A14" w:rsidRPr="6DBDFD51">
        <w:rPr>
          <w:sz w:val="22"/>
          <w:szCs w:val="22"/>
        </w:rPr>
        <w:t xml:space="preserve"> </w:t>
      </w:r>
      <w:r w:rsidR="002D7727" w:rsidRPr="6DBDFD51">
        <w:rPr>
          <w:sz w:val="22"/>
          <w:szCs w:val="22"/>
        </w:rPr>
        <w:t xml:space="preserve">influx of </w:t>
      </w:r>
      <w:r w:rsidR="002B7A14" w:rsidRPr="6DBDFD51">
        <w:rPr>
          <w:sz w:val="22"/>
          <w:szCs w:val="22"/>
        </w:rPr>
        <w:t>migrants</w:t>
      </w:r>
      <w:r w:rsidR="005A1601" w:rsidRPr="6DBDFD51">
        <w:rPr>
          <w:sz w:val="22"/>
          <w:szCs w:val="22"/>
        </w:rPr>
        <w:t xml:space="preserve">, </w:t>
      </w:r>
      <w:r w:rsidR="00C76101" w:rsidRPr="6DBDFD51">
        <w:rPr>
          <w:sz w:val="22"/>
          <w:szCs w:val="22"/>
        </w:rPr>
        <w:t>the situation is</w:t>
      </w:r>
      <w:r w:rsidR="00CF2CD8" w:rsidRPr="6DBDFD51">
        <w:rPr>
          <w:sz w:val="22"/>
          <w:szCs w:val="22"/>
        </w:rPr>
        <w:t xml:space="preserve"> highly</w:t>
      </w:r>
      <w:r w:rsidR="00C76101" w:rsidRPr="6DBDFD51">
        <w:rPr>
          <w:sz w:val="22"/>
          <w:szCs w:val="22"/>
        </w:rPr>
        <w:t xml:space="preserve"> dynamic. </w:t>
      </w:r>
      <w:r w:rsidR="007C66A1" w:rsidRPr="6DBDFD51">
        <w:rPr>
          <w:sz w:val="22"/>
          <w:szCs w:val="22"/>
        </w:rPr>
        <w:t xml:space="preserve">It is likely that </w:t>
      </w:r>
      <w:r w:rsidR="00CF2CD8" w:rsidRPr="6DBDFD51">
        <w:rPr>
          <w:sz w:val="22"/>
          <w:szCs w:val="22"/>
        </w:rPr>
        <w:t>unreported</w:t>
      </w:r>
      <w:r w:rsidR="00A561FD" w:rsidRPr="6DBDFD51">
        <w:rPr>
          <w:sz w:val="22"/>
          <w:szCs w:val="22"/>
        </w:rPr>
        <w:t xml:space="preserve"> cases </w:t>
      </w:r>
      <w:r w:rsidR="00CF2CD8" w:rsidRPr="6DBDFD51">
        <w:rPr>
          <w:sz w:val="22"/>
          <w:szCs w:val="22"/>
        </w:rPr>
        <w:t>exist, and</w:t>
      </w:r>
      <w:r w:rsidR="00C76101" w:rsidRPr="6DBDFD51">
        <w:rPr>
          <w:sz w:val="22"/>
          <w:szCs w:val="22"/>
        </w:rPr>
        <w:t xml:space="preserve"> </w:t>
      </w:r>
      <w:r w:rsidR="007C66A1" w:rsidRPr="6DBDFD51">
        <w:rPr>
          <w:sz w:val="22"/>
          <w:szCs w:val="22"/>
        </w:rPr>
        <w:t>that the</w:t>
      </w:r>
      <w:r w:rsidR="00C76101" w:rsidRPr="6DBDFD51">
        <w:rPr>
          <w:sz w:val="22"/>
          <w:szCs w:val="22"/>
        </w:rPr>
        <w:t xml:space="preserve"> </w:t>
      </w:r>
      <w:r w:rsidR="00A561FD" w:rsidRPr="6DBDFD51">
        <w:rPr>
          <w:sz w:val="22"/>
          <w:szCs w:val="22"/>
        </w:rPr>
        <w:t>spread of the virus is far from its peak</w:t>
      </w:r>
      <w:r w:rsidR="00F91781" w:rsidRPr="6DBDFD51">
        <w:rPr>
          <w:sz w:val="22"/>
          <w:szCs w:val="22"/>
        </w:rPr>
        <w:t xml:space="preserve">. </w:t>
      </w:r>
      <w:r w:rsidR="00F91781" w:rsidRPr="6DBDFD51">
        <w:rPr>
          <w:color w:val="FF0000"/>
          <w:sz w:val="22"/>
          <w:szCs w:val="22"/>
        </w:rPr>
        <w:t xml:space="preserve">  </w:t>
      </w:r>
    </w:p>
    <w:p w14:paraId="4491B22C" w14:textId="03D924DD" w:rsidR="00041098" w:rsidRPr="00905357" w:rsidRDefault="0078077C" w:rsidP="6DBDFD51">
      <w:pPr>
        <w:spacing w:before="120"/>
        <w:jc w:val="both"/>
        <w:rPr>
          <w:sz w:val="22"/>
          <w:szCs w:val="22"/>
        </w:rPr>
      </w:pPr>
      <w:bookmarkStart w:id="3" w:name="_Hlk39146253"/>
      <w:r w:rsidRPr="6DBDFD51">
        <w:rPr>
          <w:b/>
          <w:bCs/>
          <w:sz w:val="22"/>
          <w:szCs w:val="22"/>
        </w:rPr>
        <w:t xml:space="preserve">To date, the Government </w:t>
      </w:r>
      <w:r w:rsidR="00240156" w:rsidRPr="6DBDFD51">
        <w:rPr>
          <w:b/>
          <w:bCs/>
          <w:sz w:val="22"/>
          <w:szCs w:val="22"/>
        </w:rPr>
        <w:t xml:space="preserve">of National Accord (GNA) </w:t>
      </w:r>
      <w:r w:rsidRPr="6DBDFD51">
        <w:rPr>
          <w:b/>
          <w:bCs/>
          <w:sz w:val="22"/>
          <w:szCs w:val="22"/>
        </w:rPr>
        <w:t>has taken  steps to contain and suppress the epidemic</w:t>
      </w:r>
      <w:r w:rsidR="005A2F1E" w:rsidRPr="6DBDFD51">
        <w:rPr>
          <w:b/>
          <w:bCs/>
          <w:sz w:val="22"/>
          <w:szCs w:val="22"/>
        </w:rPr>
        <w:t xml:space="preserve">, although delays in Tripoli’s preparations have resulted in mass public frustration </w:t>
      </w:r>
      <w:r w:rsidR="005243A5" w:rsidRPr="6DBDFD51">
        <w:rPr>
          <w:b/>
          <w:bCs/>
          <w:sz w:val="22"/>
          <w:szCs w:val="22"/>
        </w:rPr>
        <w:t>and the resignation of the</w:t>
      </w:r>
      <w:r w:rsidR="005A2F1E" w:rsidRPr="6DBDFD51">
        <w:rPr>
          <w:b/>
          <w:bCs/>
          <w:sz w:val="22"/>
          <w:szCs w:val="22"/>
        </w:rPr>
        <w:t xml:space="preserve"> GNA’s Health Minister.</w:t>
      </w:r>
      <w:r w:rsidR="005A2F1E" w:rsidRPr="6DBDFD51">
        <w:rPr>
          <w:sz w:val="22"/>
          <w:szCs w:val="22"/>
        </w:rPr>
        <w:t xml:space="preserve">  </w:t>
      </w:r>
      <w:r w:rsidR="0034380A" w:rsidRPr="6DBDFD51">
        <w:rPr>
          <w:sz w:val="22"/>
          <w:szCs w:val="22"/>
        </w:rPr>
        <w:t>Measures taken to date include closure of air, sea and land borders</w:t>
      </w:r>
      <w:r w:rsidR="0034380A" w:rsidRPr="6DBDFD51">
        <w:rPr>
          <w:rStyle w:val="FootnoteReference"/>
          <w:sz w:val="22"/>
          <w:szCs w:val="22"/>
        </w:rPr>
        <w:footnoteReference w:id="2"/>
      </w:r>
      <w:r w:rsidR="0034380A" w:rsidRPr="6DBDFD51">
        <w:rPr>
          <w:sz w:val="22"/>
          <w:szCs w:val="22"/>
        </w:rPr>
        <w:t>; restrictions on movement between cities; imposition of curfew and roadblocks; closure of public institutions and gatherings; identification of 305 isolation rooms and 542 quarantine and stabilization rooms across the country</w:t>
      </w:r>
      <w:r w:rsidR="00DB0118" w:rsidRPr="6DBDFD51">
        <w:rPr>
          <w:rStyle w:val="FootnoteReference"/>
          <w:sz w:val="22"/>
          <w:szCs w:val="22"/>
        </w:rPr>
        <w:footnoteReference w:id="3"/>
      </w:r>
      <w:r w:rsidR="0034380A" w:rsidRPr="6DBDFD51">
        <w:rPr>
          <w:sz w:val="22"/>
          <w:szCs w:val="22"/>
        </w:rPr>
        <w:t xml:space="preserve">; assignment of </w:t>
      </w:r>
      <w:r w:rsidR="008C2F87" w:rsidRPr="6DBDFD51">
        <w:rPr>
          <w:sz w:val="22"/>
          <w:szCs w:val="22"/>
        </w:rPr>
        <w:t xml:space="preserve">several </w:t>
      </w:r>
      <w:r w:rsidR="0034380A" w:rsidRPr="6DBDFD51">
        <w:rPr>
          <w:sz w:val="22"/>
          <w:szCs w:val="22"/>
        </w:rPr>
        <w:t xml:space="preserve">hospitals </w:t>
      </w:r>
      <w:r w:rsidR="00DB0118" w:rsidRPr="6DBDFD51">
        <w:rPr>
          <w:sz w:val="22"/>
          <w:szCs w:val="22"/>
        </w:rPr>
        <w:t xml:space="preserve">for </w:t>
      </w:r>
      <w:r w:rsidR="0034380A" w:rsidRPr="6DBDFD51">
        <w:rPr>
          <w:sz w:val="22"/>
          <w:szCs w:val="22"/>
        </w:rPr>
        <w:t xml:space="preserve">COVID-19 response (in the west and </w:t>
      </w:r>
      <w:r w:rsidR="008C2F87" w:rsidRPr="6DBDFD51">
        <w:rPr>
          <w:sz w:val="22"/>
          <w:szCs w:val="22"/>
        </w:rPr>
        <w:t xml:space="preserve">the </w:t>
      </w:r>
      <w:r w:rsidR="0034380A" w:rsidRPr="6DBDFD51">
        <w:rPr>
          <w:sz w:val="22"/>
          <w:szCs w:val="22"/>
        </w:rPr>
        <w:t>east</w:t>
      </w:r>
      <w:r w:rsidR="008C2F87" w:rsidRPr="6DBDFD51">
        <w:rPr>
          <w:sz w:val="22"/>
          <w:szCs w:val="22"/>
        </w:rPr>
        <w:t xml:space="preserve">, </w:t>
      </w:r>
      <w:r w:rsidR="00DB0118" w:rsidRPr="6DBDFD51">
        <w:rPr>
          <w:sz w:val="22"/>
          <w:szCs w:val="22"/>
        </w:rPr>
        <w:t xml:space="preserve">but this is </w:t>
      </w:r>
      <w:r w:rsidR="0034380A" w:rsidRPr="6DBDFD51">
        <w:rPr>
          <w:sz w:val="22"/>
          <w:szCs w:val="22"/>
        </w:rPr>
        <w:t xml:space="preserve">yet to be implemented.  </w:t>
      </w:r>
      <w:r w:rsidR="00041098" w:rsidRPr="6DBDFD51">
        <w:rPr>
          <w:sz w:val="22"/>
          <w:szCs w:val="22"/>
        </w:rPr>
        <w:t xml:space="preserve">307 </w:t>
      </w:r>
      <w:r w:rsidR="0034380A" w:rsidRPr="6DBDFD51">
        <w:rPr>
          <w:sz w:val="22"/>
          <w:szCs w:val="22"/>
        </w:rPr>
        <w:t xml:space="preserve">people have been placed in quarantine and the Government is now seeking facilities to quarantine up to 6,000 Libyans returning from abroad. At least 600 Chadian and Sudanese migrants in a detention centre in the east of Libya have </w:t>
      </w:r>
      <w:r w:rsidR="0034380A" w:rsidRPr="00905357">
        <w:rPr>
          <w:sz w:val="22"/>
          <w:szCs w:val="22"/>
        </w:rPr>
        <w:t>been sent to a sterilization centre as a proactive measure against the possible spread of COVID-19.</w:t>
      </w:r>
      <w:r w:rsidR="00B965FB" w:rsidRPr="00905357">
        <w:rPr>
          <w:sz w:val="22"/>
          <w:szCs w:val="22"/>
        </w:rPr>
        <w:t xml:space="preserve"> </w:t>
      </w:r>
    </w:p>
    <w:p w14:paraId="3794057D" w14:textId="2E2B2542" w:rsidR="0078145E" w:rsidRPr="00905357" w:rsidRDefault="0063641E" w:rsidP="0078145E">
      <w:pPr>
        <w:spacing w:before="120"/>
        <w:jc w:val="both"/>
        <w:rPr>
          <w:bCs/>
          <w:sz w:val="22"/>
          <w:szCs w:val="22"/>
        </w:rPr>
      </w:pPr>
      <w:r w:rsidRPr="00905357">
        <w:rPr>
          <w:b/>
          <w:bCs/>
          <w:sz w:val="22"/>
          <w:szCs w:val="22"/>
        </w:rPr>
        <w:t>The Government</w:t>
      </w:r>
      <w:r w:rsidR="00063570" w:rsidRPr="00905357">
        <w:rPr>
          <w:b/>
          <w:bCs/>
          <w:sz w:val="22"/>
          <w:szCs w:val="22"/>
        </w:rPr>
        <w:t>(GNA)</w:t>
      </w:r>
      <w:r w:rsidRPr="00905357">
        <w:rPr>
          <w:b/>
          <w:bCs/>
          <w:sz w:val="22"/>
          <w:szCs w:val="22"/>
        </w:rPr>
        <w:t xml:space="preserve"> has set up a National High Committee on COVID-19 (NHCC),</w:t>
      </w:r>
      <w:r w:rsidRPr="00905357">
        <w:rPr>
          <w:sz w:val="22"/>
          <w:szCs w:val="22"/>
        </w:rPr>
        <w:t xml:space="preserve"> which is guiding the response</w:t>
      </w:r>
      <w:r w:rsidR="00845129" w:rsidRPr="00905357">
        <w:rPr>
          <w:sz w:val="22"/>
          <w:szCs w:val="22"/>
        </w:rPr>
        <w:t xml:space="preserve">, </w:t>
      </w:r>
      <w:r w:rsidRPr="00905357">
        <w:rPr>
          <w:sz w:val="22"/>
          <w:szCs w:val="22"/>
        </w:rPr>
        <w:t xml:space="preserve">comprised of the National Centre for Disease Control (NCDC); Ministries of Health, Foreign Affairs, Finance, </w:t>
      </w:r>
      <w:r w:rsidR="00845129" w:rsidRPr="00905357">
        <w:rPr>
          <w:sz w:val="22"/>
          <w:szCs w:val="22"/>
        </w:rPr>
        <w:t xml:space="preserve">Planning, </w:t>
      </w:r>
      <w:r w:rsidRPr="00905357">
        <w:rPr>
          <w:sz w:val="22"/>
          <w:szCs w:val="22"/>
        </w:rPr>
        <w:t>Local Governance; and the UN (UNSMIL, WHO and OCHA)</w:t>
      </w:r>
      <w:r w:rsidR="00063570" w:rsidRPr="00905357">
        <w:rPr>
          <w:sz w:val="22"/>
          <w:szCs w:val="22"/>
        </w:rPr>
        <w:t xml:space="preserve"> in</w:t>
      </w:r>
      <w:r w:rsidR="007B717B" w:rsidRPr="00905357">
        <w:rPr>
          <w:sz w:val="22"/>
          <w:szCs w:val="22"/>
        </w:rPr>
        <w:t xml:space="preserve"> the areas controlled by GNA although the response (budget allocation to Municipalities) is also extended to LNA controlled areas. </w:t>
      </w:r>
      <w:r w:rsidRPr="00905357">
        <w:rPr>
          <w:sz w:val="22"/>
          <w:szCs w:val="22"/>
        </w:rPr>
        <w:t xml:space="preserve">. </w:t>
      </w:r>
      <w:r w:rsidR="007B717B" w:rsidRPr="00905357">
        <w:rPr>
          <w:sz w:val="22"/>
          <w:szCs w:val="22"/>
        </w:rPr>
        <w:t xml:space="preserve">On the GNA side, </w:t>
      </w:r>
      <w:r w:rsidR="00391DA0" w:rsidRPr="00905357">
        <w:rPr>
          <w:rFonts w:eastAsia="SimSun"/>
          <w:sz w:val="22"/>
          <w:szCs w:val="22"/>
          <w:lang w:eastAsia="zh-CN"/>
        </w:rPr>
        <w:t xml:space="preserve">The Ministry of Planning, Ministry of Health and the National </w:t>
      </w:r>
      <w:r w:rsidR="006A7CDC" w:rsidRPr="00905357">
        <w:rPr>
          <w:rFonts w:eastAsia="SimSun"/>
          <w:sz w:val="22"/>
          <w:szCs w:val="22"/>
          <w:lang w:eastAsia="zh-CN"/>
        </w:rPr>
        <w:t>Centre</w:t>
      </w:r>
      <w:r w:rsidR="00391DA0" w:rsidRPr="00905357">
        <w:rPr>
          <w:rFonts w:eastAsia="SimSun"/>
          <w:sz w:val="22"/>
          <w:szCs w:val="22"/>
          <w:lang w:eastAsia="zh-CN"/>
        </w:rPr>
        <w:t xml:space="preserve"> for Disease Control (NCDC) </w:t>
      </w:r>
      <w:r w:rsidR="00845129" w:rsidRPr="00905357">
        <w:rPr>
          <w:rFonts w:eastAsia="SimSun"/>
          <w:sz w:val="22"/>
          <w:szCs w:val="22"/>
          <w:lang w:eastAsia="zh-CN"/>
        </w:rPr>
        <w:t xml:space="preserve">have been charged with the development of a </w:t>
      </w:r>
      <w:r w:rsidR="00391DA0" w:rsidRPr="00905357">
        <w:rPr>
          <w:rFonts w:eastAsia="SimSun"/>
          <w:sz w:val="22"/>
          <w:szCs w:val="22"/>
          <w:lang w:eastAsia="zh-CN"/>
        </w:rPr>
        <w:t>national coordination mechanism</w:t>
      </w:r>
      <w:r w:rsidR="00240156" w:rsidRPr="00905357">
        <w:rPr>
          <w:rFonts w:eastAsia="SimSun"/>
          <w:sz w:val="22"/>
          <w:szCs w:val="22"/>
          <w:lang w:eastAsia="zh-CN"/>
        </w:rPr>
        <w:t>,</w:t>
      </w:r>
      <w:r w:rsidR="00391DA0" w:rsidRPr="00905357">
        <w:rPr>
          <w:rFonts w:eastAsia="SimSun"/>
          <w:sz w:val="22"/>
          <w:szCs w:val="22"/>
          <w:lang w:eastAsia="zh-CN"/>
        </w:rPr>
        <w:t xml:space="preserve"> as well as a national strategy to respond to COVID-19.  </w:t>
      </w:r>
      <w:r w:rsidR="00DC7950" w:rsidRPr="00905357">
        <w:rPr>
          <w:sz w:val="22"/>
          <w:szCs w:val="22"/>
        </w:rPr>
        <w:t>Although not officially declared by the Presidential Council, and with no set timeframe for disbursement, the GNA is planning to set aside approximately 350 million US</w:t>
      </w:r>
      <w:r w:rsidR="00240156" w:rsidRPr="00905357">
        <w:rPr>
          <w:sz w:val="22"/>
          <w:szCs w:val="22"/>
        </w:rPr>
        <w:t>D</w:t>
      </w:r>
      <w:r w:rsidR="00DC7950" w:rsidRPr="00905357">
        <w:rPr>
          <w:sz w:val="22"/>
          <w:szCs w:val="22"/>
        </w:rPr>
        <w:t xml:space="preserve"> for COVID-19, of which approximately 50 million USD are earmarked to be allocated to </w:t>
      </w:r>
      <w:r w:rsidR="0089211C" w:rsidRPr="00905357">
        <w:rPr>
          <w:sz w:val="22"/>
          <w:szCs w:val="22"/>
        </w:rPr>
        <w:t xml:space="preserve">the </w:t>
      </w:r>
      <w:r w:rsidR="00DC7950" w:rsidRPr="00905357">
        <w:rPr>
          <w:sz w:val="22"/>
          <w:szCs w:val="22"/>
        </w:rPr>
        <w:t xml:space="preserve">119 </w:t>
      </w:r>
      <w:r w:rsidR="00041098" w:rsidRPr="00905357">
        <w:rPr>
          <w:bCs/>
          <w:sz w:val="22"/>
          <w:szCs w:val="22"/>
        </w:rPr>
        <w:t>m</w:t>
      </w:r>
      <w:r w:rsidR="00DC7950" w:rsidRPr="00905357">
        <w:rPr>
          <w:bCs/>
          <w:sz w:val="22"/>
          <w:szCs w:val="22"/>
        </w:rPr>
        <w:t>unicipalitie</w:t>
      </w:r>
      <w:r w:rsidR="0078145E" w:rsidRPr="00905357">
        <w:rPr>
          <w:bCs/>
          <w:sz w:val="22"/>
          <w:szCs w:val="22"/>
        </w:rPr>
        <w:t>s</w:t>
      </w:r>
      <w:r w:rsidR="0089211C" w:rsidRPr="00905357">
        <w:rPr>
          <w:bCs/>
          <w:sz w:val="22"/>
          <w:szCs w:val="22"/>
        </w:rPr>
        <w:t xml:space="preserve"> in the whole territory</w:t>
      </w:r>
      <w:r w:rsidR="0078145E" w:rsidRPr="00905357">
        <w:rPr>
          <w:bCs/>
          <w:sz w:val="22"/>
          <w:szCs w:val="22"/>
        </w:rPr>
        <w:t xml:space="preserve">. </w:t>
      </w:r>
    </w:p>
    <w:bookmarkEnd w:id="2"/>
    <w:p w14:paraId="4A93C290" w14:textId="77777777" w:rsidR="0078145E" w:rsidRPr="00905357" w:rsidRDefault="0078145E" w:rsidP="0078145E">
      <w:pPr>
        <w:spacing w:before="120"/>
        <w:jc w:val="both"/>
        <w:rPr>
          <w:bCs/>
          <w:sz w:val="22"/>
          <w:szCs w:val="22"/>
        </w:rPr>
      </w:pPr>
    </w:p>
    <w:p w14:paraId="219BDAF7" w14:textId="77777777" w:rsidR="0078145E" w:rsidRPr="00905357" w:rsidRDefault="0078145E" w:rsidP="0078145E">
      <w:pPr>
        <w:pStyle w:val="CommentText"/>
        <w:jc w:val="both"/>
        <w:rPr>
          <w:sz w:val="22"/>
          <w:szCs w:val="22"/>
        </w:rPr>
      </w:pPr>
      <w:r w:rsidRPr="00905357">
        <w:rPr>
          <w:sz w:val="22"/>
          <w:szCs w:val="22"/>
        </w:rPr>
        <w:t xml:space="preserve">Within the NCDC there is a level of nationwide coordination, however, the GNA and LNA are following different protocols. GNA does not have any access restraints, however, there are issues regarding what mechanisms to use during the response. </w:t>
      </w:r>
    </w:p>
    <w:p w14:paraId="732C0899" w14:textId="77777777" w:rsidR="0078145E" w:rsidRPr="00905357" w:rsidRDefault="0078145E" w:rsidP="0078145E">
      <w:pPr>
        <w:pStyle w:val="CommentText"/>
        <w:jc w:val="both"/>
        <w:rPr>
          <w:sz w:val="22"/>
          <w:szCs w:val="22"/>
        </w:rPr>
      </w:pPr>
    </w:p>
    <w:p w14:paraId="7B52D1BC" w14:textId="24918622" w:rsidR="0078145E" w:rsidRPr="004066EC" w:rsidRDefault="0078145E" w:rsidP="0078145E">
      <w:pPr>
        <w:pStyle w:val="CommentText"/>
        <w:jc w:val="both"/>
        <w:rPr>
          <w:sz w:val="22"/>
          <w:szCs w:val="22"/>
        </w:rPr>
      </w:pPr>
      <w:bookmarkStart w:id="4" w:name="_Hlk39143998"/>
      <w:r w:rsidRPr="004066EC">
        <w:rPr>
          <w:sz w:val="22"/>
          <w:szCs w:val="22"/>
        </w:rPr>
        <w:t xml:space="preserve">The GNA has taken a more decentralized approach to its COVID-19 response. As mentioned above, the Tripoli based government has set aside $50 million that will be divided and disbursed to </w:t>
      </w:r>
      <w:r w:rsidR="0089211C" w:rsidRPr="004066EC">
        <w:rPr>
          <w:sz w:val="22"/>
          <w:szCs w:val="22"/>
        </w:rPr>
        <w:t xml:space="preserve">the </w:t>
      </w:r>
      <w:r w:rsidRPr="004066EC">
        <w:rPr>
          <w:sz w:val="22"/>
          <w:szCs w:val="22"/>
        </w:rPr>
        <w:t xml:space="preserve">119 municipalities who will use their share of the budget and assume full responsibility for tackling the outbreak of COVID-19 in their respective domains. However, there has been issues </w:t>
      </w:r>
      <w:r w:rsidR="0089211C" w:rsidRPr="004066EC">
        <w:rPr>
          <w:sz w:val="22"/>
          <w:szCs w:val="22"/>
        </w:rPr>
        <w:t xml:space="preserve">of differences to tap into available resources at the CBL (Central Bank of Libya) between CBL and PC (Presidential Council) as </w:t>
      </w:r>
      <w:r w:rsidRPr="004066EC">
        <w:rPr>
          <w:sz w:val="22"/>
          <w:szCs w:val="22"/>
        </w:rPr>
        <w:t xml:space="preserve">allocating the budget to municipalities that are under LNA control, which has caused a rift and halted the disbursement of these funds. This has created a gap that is being filled by several prominent businessmen who have stepped in and provided support, i.e., in the form of distributing PPEs, to certain municipalities. </w:t>
      </w:r>
    </w:p>
    <w:p w14:paraId="334518C0" w14:textId="77777777" w:rsidR="0078145E" w:rsidRPr="004066EC" w:rsidRDefault="0078145E" w:rsidP="0078145E">
      <w:pPr>
        <w:pStyle w:val="CommentText"/>
        <w:jc w:val="both"/>
        <w:rPr>
          <w:sz w:val="22"/>
          <w:szCs w:val="22"/>
        </w:rPr>
      </w:pPr>
    </w:p>
    <w:p w14:paraId="7CD35689" w14:textId="34681674" w:rsidR="0078145E" w:rsidRPr="004066EC" w:rsidRDefault="0078145E" w:rsidP="0078145E">
      <w:pPr>
        <w:pStyle w:val="CommentText"/>
        <w:jc w:val="both"/>
        <w:rPr>
          <w:sz w:val="22"/>
          <w:szCs w:val="22"/>
        </w:rPr>
      </w:pPr>
      <w:r w:rsidRPr="004066EC">
        <w:rPr>
          <w:sz w:val="22"/>
          <w:szCs w:val="22"/>
        </w:rPr>
        <w:lastRenderedPageBreak/>
        <w:t xml:space="preserve">The LNA </w:t>
      </w:r>
      <w:r w:rsidR="00FB007D" w:rsidRPr="004066EC">
        <w:rPr>
          <w:sz w:val="22"/>
          <w:szCs w:val="22"/>
        </w:rPr>
        <w:t xml:space="preserve">has moved to </w:t>
      </w:r>
      <w:r w:rsidRPr="004066EC">
        <w:rPr>
          <w:sz w:val="22"/>
          <w:szCs w:val="22"/>
        </w:rPr>
        <w:t xml:space="preserve">combating the spread of COVID-19 by supplying several municipalities with medical supplies. </w:t>
      </w:r>
      <w:r w:rsidR="00FB007D" w:rsidRPr="004066EC">
        <w:rPr>
          <w:sz w:val="22"/>
          <w:szCs w:val="22"/>
        </w:rPr>
        <w:t xml:space="preserve">On the </w:t>
      </w:r>
      <w:r w:rsidRPr="004066EC">
        <w:rPr>
          <w:sz w:val="22"/>
          <w:szCs w:val="22"/>
        </w:rPr>
        <w:t xml:space="preserve">GNA, </w:t>
      </w:r>
      <w:r w:rsidR="00FB007D" w:rsidRPr="004066EC">
        <w:rPr>
          <w:sz w:val="22"/>
          <w:szCs w:val="22"/>
        </w:rPr>
        <w:t xml:space="preserve">there are competing perspectives on the allocation of resources as well as mechanisms </w:t>
      </w:r>
      <w:r w:rsidRPr="004066EC">
        <w:rPr>
          <w:sz w:val="22"/>
          <w:szCs w:val="22"/>
        </w:rPr>
        <w:t xml:space="preserve">for distribution. The LNA has </w:t>
      </w:r>
      <w:r w:rsidR="00FB007D" w:rsidRPr="004066EC">
        <w:rPr>
          <w:sz w:val="22"/>
          <w:szCs w:val="22"/>
        </w:rPr>
        <w:t xml:space="preserve">provided </w:t>
      </w:r>
      <w:r w:rsidRPr="004066EC">
        <w:rPr>
          <w:sz w:val="22"/>
          <w:szCs w:val="22"/>
        </w:rPr>
        <w:t xml:space="preserve">support by distributing fuel, subsidized food and medical supplies (i.e., ICUs/beds) to municipalities in the east, i.e., Ajdabiya, Albayda, Tobruk, Derna and to the south, i.e., Sebha. Some municipalities, such as Sebha, are expected to redistribute portions of their supplies to smaller cities in the south. </w:t>
      </w:r>
      <w:r w:rsidR="00FB007D" w:rsidRPr="004066EC">
        <w:rPr>
          <w:sz w:val="22"/>
          <w:szCs w:val="22"/>
        </w:rPr>
        <w:t>On the other hand</w:t>
      </w:r>
      <w:r w:rsidRPr="004066EC">
        <w:rPr>
          <w:sz w:val="22"/>
          <w:szCs w:val="22"/>
        </w:rPr>
        <w:t xml:space="preserve">, COVID-19 tests in Benghazi and Sabha are being sent to Tripoli for analysis.  </w:t>
      </w:r>
    </w:p>
    <w:p w14:paraId="52ABCF56" w14:textId="77777777" w:rsidR="0078145E" w:rsidRPr="004066EC" w:rsidRDefault="0078145E" w:rsidP="0078145E">
      <w:pPr>
        <w:pStyle w:val="CommentText"/>
        <w:jc w:val="both"/>
        <w:rPr>
          <w:sz w:val="22"/>
          <w:szCs w:val="22"/>
        </w:rPr>
      </w:pPr>
    </w:p>
    <w:p w14:paraId="243E02F7" w14:textId="53E9526F" w:rsidR="0078145E" w:rsidRPr="00905357" w:rsidRDefault="0078145E" w:rsidP="0078145E">
      <w:pPr>
        <w:pStyle w:val="CommentText"/>
        <w:jc w:val="both"/>
        <w:rPr>
          <w:sz w:val="22"/>
          <w:szCs w:val="22"/>
        </w:rPr>
      </w:pPr>
      <w:r w:rsidRPr="004066EC">
        <w:rPr>
          <w:sz w:val="22"/>
          <w:szCs w:val="22"/>
        </w:rPr>
        <w:t xml:space="preserve">The budget allocated for the COVID-19 response remains disputed and is yet to be disbursed. Tensions exists between the Prime Minister and the Central Bank governor regarding multiple economic reforms, which is also impeding the government’s ability to respond </w:t>
      </w:r>
      <w:r w:rsidR="004B4A2C" w:rsidRPr="004066EC">
        <w:rPr>
          <w:sz w:val="22"/>
          <w:szCs w:val="22"/>
        </w:rPr>
        <w:t xml:space="preserve">effectively </w:t>
      </w:r>
      <w:r w:rsidRPr="004066EC">
        <w:rPr>
          <w:sz w:val="22"/>
          <w:szCs w:val="22"/>
        </w:rPr>
        <w:t>to COVID-19. This lack of an agreement is in relation to key monetary policies that the central banks deems necessary for economic stability against the backdrop of reduced oil production and a global economic downturn as a result of COVID-19. This stalemate has led to delayed salaries and blocked benefits, as well as a decrease in access to hard currency, which has forced an increase in dependency on the shadow economy.</w:t>
      </w:r>
    </w:p>
    <w:bookmarkEnd w:id="4"/>
    <w:p w14:paraId="0A696CF7" w14:textId="1BFA16DA" w:rsidR="00D52B98" w:rsidRPr="006A7CDC" w:rsidRDefault="007A58DE" w:rsidP="6DBDFD51">
      <w:pPr>
        <w:spacing w:before="120"/>
        <w:jc w:val="both"/>
        <w:rPr>
          <w:sz w:val="22"/>
          <w:szCs w:val="22"/>
        </w:rPr>
      </w:pPr>
      <w:r w:rsidRPr="6DBDFD51">
        <w:rPr>
          <w:b/>
          <w:bCs/>
          <w:sz w:val="22"/>
          <w:szCs w:val="22"/>
        </w:rPr>
        <w:t>Decades of underinvestment</w:t>
      </w:r>
      <w:r w:rsidR="00B769AE" w:rsidRPr="6DBDFD51">
        <w:rPr>
          <w:b/>
          <w:bCs/>
          <w:sz w:val="22"/>
          <w:szCs w:val="22"/>
        </w:rPr>
        <w:t xml:space="preserve"> in healthcare</w:t>
      </w:r>
      <w:r w:rsidRPr="6DBDFD51">
        <w:rPr>
          <w:b/>
          <w:bCs/>
          <w:sz w:val="22"/>
          <w:szCs w:val="22"/>
        </w:rPr>
        <w:t xml:space="preserve">, compounded by nine years of </w:t>
      </w:r>
      <w:r w:rsidR="005D70C8" w:rsidRPr="6DBDFD51">
        <w:rPr>
          <w:b/>
          <w:bCs/>
          <w:sz w:val="22"/>
          <w:szCs w:val="22"/>
        </w:rPr>
        <w:t xml:space="preserve">wartime </w:t>
      </w:r>
      <w:r w:rsidR="00B769AE" w:rsidRPr="6DBDFD51">
        <w:rPr>
          <w:b/>
          <w:bCs/>
          <w:sz w:val="22"/>
          <w:szCs w:val="22"/>
        </w:rPr>
        <w:t xml:space="preserve">devastation, </w:t>
      </w:r>
      <w:r w:rsidR="002D7727" w:rsidRPr="6DBDFD51">
        <w:rPr>
          <w:b/>
          <w:bCs/>
          <w:sz w:val="22"/>
          <w:szCs w:val="22"/>
        </w:rPr>
        <w:t xml:space="preserve">have left </w:t>
      </w:r>
      <w:r w:rsidR="0037719B" w:rsidRPr="6DBDFD51">
        <w:rPr>
          <w:b/>
          <w:bCs/>
          <w:sz w:val="22"/>
          <w:szCs w:val="22"/>
        </w:rPr>
        <w:t>Libya</w:t>
      </w:r>
      <w:r w:rsidR="005D70C8" w:rsidRPr="6DBDFD51">
        <w:rPr>
          <w:b/>
          <w:bCs/>
          <w:sz w:val="22"/>
          <w:szCs w:val="22"/>
        </w:rPr>
        <w:t xml:space="preserve"> </w:t>
      </w:r>
      <w:r w:rsidR="00841E7D" w:rsidRPr="6DBDFD51">
        <w:rPr>
          <w:b/>
          <w:bCs/>
          <w:sz w:val="22"/>
          <w:szCs w:val="22"/>
        </w:rPr>
        <w:t xml:space="preserve">with </w:t>
      </w:r>
      <w:r w:rsidR="00AA5B32" w:rsidRPr="6DBDFD51">
        <w:rPr>
          <w:b/>
          <w:bCs/>
          <w:sz w:val="22"/>
          <w:szCs w:val="22"/>
        </w:rPr>
        <w:t>low</w:t>
      </w:r>
      <w:r w:rsidR="00A561FD" w:rsidRPr="6DBDFD51">
        <w:rPr>
          <w:b/>
          <w:bCs/>
          <w:sz w:val="22"/>
          <w:szCs w:val="22"/>
        </w:rPr>
        <w:t xml:space="preserve"> </w:t>
      </w:r>
      <w:r w:rsidR="00795F51" w:rsidRPr="6DBDFD51">
        <w:rPr>
          <w:b/>
          <w:bCs/>
          <w:sz w:val="22"/>
          <w:szCs w:val="22"/>
        </w:rPr>
        <w:t xml:space="preserve">domestic </w:t>
      </w:r>
      <w:r w:rsidR="00A561FD" w:rsidRPr="6DBDFD51">
        <w:rPr>
          <w:b/>
          <w:bCs/>
          <w:sz w:val="22"/>
          <w:szCs w:val="22"/>
        </w:rPr>
        <w:t>capacity to respond to COVID-19.</w:t>
      </w:r>
      <w:r w:rsidR="00A561FD" w:rsidRPr="6DBDFD51">
        <w:rPr>
          <w:sz w:val="22"/>
          <w:szCs w:val="22"/>
        </w:rPr>
        <w:t xml:space="preserve"> </w:t>
      </w:r>
      <w:r w:rsidR="00F611A8" w:rsidRPr="6DBDFD51">
        <w:rPr>
          <w:b/>
          <w:bCs/>
          <w:sz w:val="22"/>
          <w:szCs w:val="22"/>
        </w:rPr>
        <w:t xml:space="preserve">Compromised health, emergency response and waste management systems offer very little </w:t>
      </w:r>
      <w:r w:rsidR="006A7CDC" w:rsidRPr="6DBDFD51">
        <w:rPr>
          <w:b/>
          <w:bCs/>
          <w:sz w:val="22"/>
          <w:szCs w:val="22"/>
        </w:rPr>
        <w:t>defence</w:t>
      </w:r>
      <w:r w:rsidR="00F611A8" w:rsidRPr="6DBDFD51">
        <w:rPr>
          <w:b/>
          <w:bCs/>
          <w:sz w:val="22"/>
          <w:szCs w:val="22"/>
        </w:rPr>
        <w:t xml:space="preserve"> in the face of the virus</w:t>
      </w:r>
      <w:r w:rsidR="00B255FB" w:rsidRPr="6DBDFD51">
        <w:rPr>
          <w:b/>
          <w:bCs/>
          <w:sz w:val="22"/>
          <w:szCs w:val="22"/>
        </w:rPr>
        <w:t xml:space="preserve">, and the </w:t>
      </w:r>
      <w:r w:rsidR="00271B82" w:rsidRPr="6DBDFD51">
        <w:rPr>
          <w:b/>
          <w:bCs/>
          <w:sz w:val="22"/>
          <w:szCs w:val="22"/>
        </w:rPr>
        <w:t>Libyan National Centre for Disease Control (NCDC), one of the leaders of the Government’s national response, warns that Libya may not be in a position to confront COVID-19, given Libya’s lack of preparedness.</w:t>
      </w:r>
      <w:r w:rsidR="00271B82" w:rsidRPr="6DBDFD51">
        <w:rPr>
          <w:rStyle w:val="FootnoteReference"/>
          <w:b/>
          <w:bCs/>
          <w:sz w:val="22"/>
          <w:szCs w:val="22"/>
        </w:rPr>
        <w:footnoteReference w:id="4"/>
      </w:r>
      <w:r w:rsidR="00271B82" w:rsidRPr="6DBDFD51">
        <w:rPr>
          <w:b/>
          <w:bCs/>
          <w:sz w:val="22"/>
          <w:szCs w:val="22"/>
        </w:rPr>
        <w:t xml:space="preserve"> </w:t>
      </w:r>
      <w:r w:rsidR="00F611A8" w:rsidRPr="6DBDFD51">
        <w:rPr>
          <w:sz w:val="22"/>
          <w:szCs w:val="22"/>
        </w:rPr>
        <w:t>Years of fragmented governance and conflict, limited financial resources, deficient human resources, acute shortage of lifesaving medicines and basic equipment,</w:t>
      </w:r>
      <w:r w:rsidR="00540202" w:rsidRPr="6DBDFD51">
        <w:rPr>
          <w:sz w:val="22"/>
          <w:szCs w:val="22"/>
        </w:rPr>
        <w:t xml:space="preserve"> </w:t>
      </w:r>
      <w:r w:rsidR="00F611A8" w:rsidRPr="6DBDFD51">
        <w:rPr>
          <w:sz w:val="22"/>
          <w:szCs w:val="22"/>
        </w:rPr>
        <w:t xml:space="preserve">debilitated </w:t>
      </w:r>
      <w:r w:rsidR="00540202" w:rsidRPr="6DBDFD51">
        <w:rPr>
          <w:sz w:val="22"/>
          <w:szCs w:val="22"/>
        </w:rPr>
        <w:t xml:space="preserve">hospitals and </w:t>
      </w:r>
      <w:r w:rsidR="00F611A8" w:rsidRPr="6DBDFD51">
        <w:rPr>
          <w:sz w:val="22"/>
          <w:szCs w:val="22"/>
        </w:rPr>
        <w:t>primary healthcare (PHC) network</w:t>
      </w:r>
      <w:r w:rsidR="00540202" w:rsidRPr="6DBDFD51">
        <w:rPr>
          <w:rStyle w:val="FootnoteReference"/>
          <w:sz w:val="22"/>
          <w:szCs w:val="22"/>
        </w:rPr>
        <w:footnoteReference w:id="5"/>
      </w:r>
      <w:r w:rsidR="0059790C" w:rsidRPr="6DBDFD51">
        <w:rPr>
          <w:sz w:val="22"/>
          <w:szCs w:val="22"/>
        </w:rPr>
        <w:t xml:space="preserve">, </w:t>
      </w:r>
      <w:r w:rsidR="00BD2016" w:rsidRPr="6DBDFD51">
        <w:rPr>
          <w:sz w:val="22"/>
          <w:szCs w:val="22"/>
        </w:rPr>
        <w:t>an inefficient health information</w:t>
      </w:r>
      <w:r w:rsidR="00AA652D" w:rsidRPr="6DBDFD51">
        <w:rPr>
          <w:sz w:val="22"/>
          <w:szCs w:val="22"/>
        </w:rPr>
        <w:t>/risk communication</w:t>
      </w:r>
      <w:r w:rsidR="00BD2016" w:rsidRPr="6DBDFD51">
        <w:rPr>
          <w:sz w:val="22"/>
          <w:szCs w:val="22"/>
        </w:rPr>
        <w:t xml:space="preserve"> system </w:t>
      </w:r>
      <w:r w:rsidR="00F611A8" w:rsidRPr="6DBDFD51">
        <w:rPr>
          <w:sz w:val="22"/>
          <w:szCs w:val="22"/>
        </w:rPr>
        <w:t xml:space="preserve">and neglected health services have left </w:t>
      </w:r>
      <w:r w:rsidR="00761EF7" w:rsidRPr="6DBDFD51">
        <w:rPr>
          <w:sz w:val="22"/>
          <w:szCs w:val="22"/>
        </w:rPr>
        <w:t xml:space="preserve">1.7 million Libyans (~25% of the population) in need of medical care but </w:t>
      </w:r>
      <w:r w:rsidR="00667A6F" w:rsidRPr="6DBDFD51">
        <w:rPr>
          <w:sz w:val="22"/>
          <w:szCs w:val="22"/>
        </w:rPr>
        <w:t xml:space="preserve">lacking </w:t>
      </w:r>
      <w:r w:rsidR="00761EF7" w:rsidRPr="6DBDFD51">
        <w:rPr>
          <w:sz w:val="22"/>
          <w:szCs w:val="22"/>
        </w:rPr>
        <w:t>access to adequate health facilities and services.</w:t>
      </w:r>
      <w:r w:rsidR="00761EF7" w:rsidRPr="6DBDFD51">
        <w:rPr>
          <w:rStyle w:val="FootnoteReference"/>
          <w:sz w:val="22"/>
          <w:szCs w:val="22"/>
        </w:rPr>
        <w:t xml:space="preserve"> </w:t>
      </w:r>
      <w:r w:rsidR="00761EF7" w:rsidRPr="6DBDFD51">
        <w:rPr>
          <w:sz w:val="22"/>
          <w:szCs w:val="22"/>
        </w:rPr>
        <w:t xml:space="preserve">Today, </w:t>
      </w:r>
      <w:r w:rsidR="00F611A8" w:rsidRPr="6DBDFD51">
        <w:rPr>
          <w:sz w:val="22"/>
          <w:szCs w:val="22"/>
        </w:rPr>
        <w:t xml:space="preserve">Libya </w:t>
      </w:r>
      <w:r w:rsidR="00FE44D4" w:rsidRPr="6DBDFD51">
        <w:rPr>
          <w:sz w:val="22"/>
          <w:szCs w:val="22"/>
        </w:rPr>
        <w:t>rank</w:t>
      </w:r>
      <w:r w:rsidR="00667A6F" w:rsidRPr="6DBDFD51">
        <w:rPr>
          <w:sz w:val="22"/>
          <w:szCs w:val="22"/>
        </w:rPr>
        <w:t xml:space="preserve">s </w:t>
      </w:r>
      <w:r w:rsidR="007D68EB" w:rsidRPr="6DBDFD51">
        <w:rPr>
          <w:sz w:val="22"/>
          <w:szCs w:val="22"/>
        </w:rPr>
        <w:t>only</w:t>
      </w:r>
      <w:r w:rsidR="00FE44D4" w:rsidRPr="6DBDFD51">
        <w:rPr>
          <w:sz w:val="22"/>
          <w:szCs w:val="22"/>
        </w:rPr>
        <w:t xml:space="preserve"> 194 out of 195 countries </w:t>
      </w:r>
      <w:r w:rsidR="00F611A8" w:rsidRPr="6DBDFD51">
        <w:rPr>
          <w:sz w:val="22"/>
          <w:szCs w:val="22"/>
        </w:rPr>
        <w:t>in the area of healthcare access.</w:t>
      </w:r>
      <w:r w:rsidR="00F611A8" w:rsidRPr="6DBDFD51">
        <w:rPr>
          <w:rStyle w:val="FootnoteReference"/>
          <w:sz w:val="22"/>
          <w:szCs w:val="22"/>
        </w:rPr>
        <w:footnoteReference w:id="6"/>
      </w:r>
      <w:r w:rsidR="00F611A8" w:rsidRPr="6DBDFD51">
        <w:rPr>
          <w:sz w:val="22"/>
          <w:szCs w:val="22"/>
        </w:rPr>
        <w:t xml:space="preserve"> </w:t>
      </w:r>
      <w:r w:rsidR="00BD2016" w:rsidRPr="6DBDFD51">
        <w:rPr>
          <w:sz w:val="22"/>
          <w:szCs w:val="22"/>
        </w:rPr>
        <w:t xml:space="preserve">Meanwhile, the </w:t>
      </w:r>
      <w:r w:rsidR="005345C7" w:rsidRPr="6DBDFD51">
        <w:rPr>
          <w:sz w:val="22"/>
          <w:szCs w:val="22"/>
        </w:rPr>
        <w:t>healthcare needs of</w:t>
      </w:r>
      <w:r w:rsidR="002E56EA" w:rsidRPr="6DBDFD51">
        <w:rPr>
          <w:sz w:val="22"/>
          <w:szCs w:val="22"/>
        </w:rPr>
        <w:t xml:space="preserve"> </w:t>
      </w:r>
      <w:r w:rsidR="005345C7" w:rsidRPr="6DBDFD51">
        <w:rPr>
          <w:sz w:val="22"/>
          <w:szCs w:val="22"/>
        </w:rPr>
        <w:t xml:space="preserve">IDPs, refugees and migrants </w:t>
      </w:r>
      <w:r w:rsidR="0059790C" w:rsidRPr="6DBDFD51">
        <w:rPr>
          <w:sz w:val="22"/>
          <w:szCs w:val="22"/>
        </w:rPr>
        <w:t>have increased manifold, esp</w:t>
      </w:r>
      <w:r w:rsidR="005345C7" w:rsidRPr="6DBDFD51">
        <w:rPr>
          <w:sz w:val="22"/>
          <w:szCs w:val="22"/>
        </w:rPr>
        <w:t xml:space="preserve">ecially in detention </w:t>
      </w:r>
      <w:r w:rsidR="006A7CDC" w:rsidRPr="6DBDFD51">
        <w:rPr>
          <w:sz w:val="22"/>
          <w:szCs w:val="22"/>
        </w:rPr>
        <w:t>centres</w:t>
      </w:r>
      <w:r w:rsidR="0059790C" w:rsidRPr="6DBDFD51">
        <w:rPr>
          <w:sz w:val="22"/>
          <w:szCs w:val="22"/>
        </w:rPr>
        <w:t xml:space="preserve">. </w:t>
      </w:r>
    </w:p>
    <w:p w14:paraId="0985E905" w14:textId="007057BA" w:rsidR="00385B9E" w:rsidRDefault="00A34C4F" w:rsidP="006A7CDC">
      <w:pPr>
        <w:spacing w:before="120"/>
        <w:jc w:val="both"/>
        <w:rPr>
          <w:sz w:val="22"/>
          <w:szCs w:val="22"/>
        </w:rPr>
      </w:pPr>
      <w:r w:rsidRPr="6DBDFD51">
        <w:rPr>
          <w:b/>
          <w:bCs/>
          <w:sz w:val="22"/>
          <w:szCs w:val="22"/>
        </w:rPr>
        <w:t xml:space="preserve">The </w:t>
      </w:r>
      <w:r w:rsidR="00BB6D32" w:rsidRPr="6DBDFD51">
        <w:rPr>
          <w:b/>
          <w:bCs/>
          <w:sz w:val="22"/>
          <w:szCs w:val="22"/>
        </w:rPr>
        <w:t xml:space="preserve">latest surge of conflict between the Government of National Accord (GNA) and the Libyan National Army (LNA) </w:t>
      </w:r>
      <w:r w:rsidRPr="6DBDFD51">
        <w:rPr>
          <w:b/>
          <w:bCs/>
          <w:sz w:val="22"/>
          <w:szCs w:val="22"/>
        </w:rPr>
        <w:t xml:space="preserve">has further </w:t>
      </w:r>
      <w:r w:rsidR="004D4769" w:rsidRPr="6DBDFD51">
        <w:rPr>
          <w:b/>
          <w:bCs/>
          <w:sz w:val="22"/>
          <w:szCs w:val="22"/>
        </w:rPr>
        <w:t>stretched the health system</w:t>
      </w:r>
      <w:r w:rsidR="00631CF3" w:rsidRPr="6DBDFD51">
        <w:rPr>
          <w:b/>
          <w:bCs/>
          <w:sz w:val="22"/>
          <w:szCs w:val="22"/>
        </w:rPr>
        <w:t xml:space="preserve"> and </w:t>
      </w:r>
      <w:r w:rsidR="001409F8" w:rsidRPr="6DBDFD51">
        <w:rPr>
          <w:b/>
          <w:bCs/>
          <w:sz w:val="22"/>
          <w:szCs w:val="22"/>
        </w:rPr>
        <w:t>compounds the impact of the CO</w:t>
      </w:r>
      <w:r w:rsidR="00631CF3" w:rsidRPr="6DBDFD51">
        <w:rPr>
          <w:b/>
          <w:bCs/>
          <w:sz w:val="22"/>
          <w:szCs w:val="22"/>
        </w:rPr>
        <w:t>VID-19</w:t>
      </w:r>
      <w:r w:rsidR="005F710A" w:rsidRPr="6DBDFD51">
        <w:rPr>
          <w:b/>
          <w:bCs/>
          <w:sz w:val="22"/>
          <w:szCs w:val="22"/>
        </w:rPr>
        <w:t xml:space="preserve">.  </w:t>
      </w:r>
      <w:r w:rsidR="00B67FF9" w:rsidRPr="6DBDFD51">
        <w:rPr>
          <w:sz w:val="22"/>
          <w:szCs w:val="22"/>
        </w:rPr>
        <w:t>Despite calls for a global ceasefire to focus on fighting COVID-19, and recent commitments by both sides to suspend fighting, clashes continue</w:t>
      </w:r>
      <w:r w:rsidR="005637F9" w:rsidRPr="6DBDFD51">
        <w:rPr>
          <w:sz w:val="22"/>
          <w:szCs w:val="22"/>
        </w:rPr>
        <w:t xml:space="preserve">. </w:t>
      </w:r>
      <w:r w:rsidR="009D50CD" w:rsidRPr="6DBDFD51">
        <w:rPr>
          <w:sz w:val="22"/>
          <w:szCs w:val="22"/>
        </w:rPr>
        <w:t xml:space="preserve">Negative impacts have been </w:t>
      </w:r>
      <w:r w:rsidR="005D7A96" w:rsidRPr="6DBDFD51">
        <w:rPr>
          <w:sz w:val="22"/>
          <w:szCs w:val="22"/>
        </w:rPr>
        <w:t>exacerbated</w:t>
      </w:r>
      <w:r w:rsidR="00281CF6" w:rsidRPr="6DBDFD51">
        <w:rPr>
          <w:sz w:val="22"/>
          <w:szCs w:val="22"/>
        </w:rPr>
        <w:t xml:space="preserve"> by a </w:t>
      </w:r>
      <w:r w:rsidR="00D50565" w:rsidRPr="6DBDFD51">
        <w:rPr>
          <w:sz w:val="22"/>
          <w:szCs w:val="22"/>
        </w:rPr>
        <w:t xml:space="preserve">recent </w:t>
      </w:r>
      <w:r w:rsidR="00281CF6" w:rsidRPr="6DBDFD51">
        <w:rPr>
          <w:sz w:val="22"/>
          <w:szCs w:val="22"/>
        </w:rPr>
        <w:t xml:space="preserve">spate of attacks </w:t>
      </w:r>
      <w:r w:rsidR="00D50565" w:rsidRPr="6DBDFD51">
        <w:rPr>
          <w:sz w:val="22"/>
          <w:szCs w:val="22"/>
        </w:rPr>
        <w:t>targeting health facilities</w:t>
      </w:r>
      <w:r w:rsidR="005E4CDB" w:rsidRPr="6DBDFD51">
        <w:rPr>
          <w:sz w:val="22"/>
          <w:szCs w:val="22"/>
        </w:rPr>
        <w:t xml:space="preserve">, mainly in </w:t>
      </w:r>
      <w:r w:rsidR="00D50565" w:rsidRPr="6DBDFD51">
        <w:rPr>
          <w:sz w:val="22"/>
          <w:szCs w:val="22"/>
        </w:rPr>
        <w:t xml:space="preserve">western Libya, </w:t>
      </w:r>
      <w:r w:rsidR="00281CF6" w:rsidRPr="6DBDFD51">
        <w:rPr>
          <w:sz w:val="22"/>
          <w:szCs w:val="22"/>
        </w:rPr>
        <w:t>by armed groups</w:t>
      </w:r>
      <w:r w:rsidR="00D50565" w:rsidRPr="6DBDFD51">
        <w:rPr>
          <w:sz w:val="22"/>
          <w:szCs w:val="22"/>
        </w:rPr>
        <w:t xml:space="preserve"> </w:t>
      </w:r>
      <w:r w:rsidR="009D50CD" w:rsidRPr="6DBDFD51">
        <w:rPr>
          <w:sz w:val="22"/>
          <w:szCs w:val="22"/>
        </w:rPr>
        <w:t>resisting the use of health facilities to isolate and treat suspected cases of C</w:t>
      </w:r>
      <w:r w:rsidR="00281CF6" w:rsidRPr="6DBDFD51">
        <w:rPr>
          <w:sz w:val="22"/>
          <w:szCs w:val="22"/>
        </w:rPr>
        <w:t>OVID-19</w:t>
      </w:r>
      <w:r w:rsidR="005E4CDB" w:rsidRPr="6DBDFD51">
        <w:rPr>
          <w:sz w:val="22"/>
          <w:szCs w:val="22"/>
        </w:rPr>
        <w:t xml:space="preserve"> in their communities</w:t>
      </w:r>
      <w:r w:rsidR="00281CF6" w:rsidRPr="6DBDFD51">
        <w:rPr>
          <w:sz w:val="22"/>
          <w:szCs w:val="22"/>
        </w:rPr>
        <w:t xml:space="preserve">. </w:t>
      </w:r>
      <w:r w:rsidR="00F02FFB" w:rsidRPr="6DBDFD51">
        <w:rPr>
          <w:sz w:val="22"/>
          <w:szCs w:val="22"/>
        </w:rPr>
        <w:t xml:space="preserve">According to WHO, </w:t>
      </w:r>
      <w:r w:rsidR="005D7A96" w:rsidRPr="6DBDFD51">
        <w:rPr>
          <w:sz w:val="22"/>
          <w:szCs w:val="22"/>
        </w:rPr>
        <w:t xml:space="preserve">since </w:t>
      </w:r>
      <w:r w:rsidR="004144AF" w:rsidRPr="6DBDFD51">
        <w:rPr>
          <w:sz w:val="22"/>
          <w:szCs w:val="22"/>
        </w:rPr>
        <w:t xml:space="preserve">the start of escalating conflict in </w:t>
      </w:r>
      <w:r w:rsidR="005D7A96" w:rsidRPr="6DBDFD51">
        <w:rPr>
          <w:sz w:val="22"/>
          <w:szCs w:val="22"/>
        </w:rPr>
        <w:t>January</w:t>
      </w:r>
      <w:r w:rsidR="00240156" w:rsidRPr="6DBDFD51">
        <w:rPr>
          <w:sz w:val="22"/>
          <w:szCs w:val="22"/>
        </w:rPr>
        <w:t xml:space="preserve"> 2020</w:t>
      </w:r>
      <w:r w:rsidR="005D7A96" w:rsidRPr="6DBDFD51">
        <w:rPr>
          <w:sz w:val="22"/>
          <w:szCs w:val="22"/>
        </w:rPr>
        <w:t xml:space="preserve">, </w:t>
      </w:r>
      <w:r w:rsidR="005B449C" w:rsidRPr="6DBDFD51">
        <w:rPr>
          <w:sz w:val="22"/>
          <w:szCs w:val="22"/>
        </w:rPr>
        <w:t xml:space="preserve">a total of </w:t>
      </w:r>
      <w:r w:rsidR="00F02FFB" w:rsidRPr="6DBDFD51">
        <w:rPr>
          <w:sz w:val="22"/>
          <w:szCs w:val="22"/>
        </w:rPr>
        <w:t xml:space="preserve">26 </w:t>
      </w:r>
      <w:r w:rsidR="0047407D" w:rsidRPr="6DBDFD51">
        <w:rPr>
          <w:sz w:val="22"/>
          <w:szCs w:val="22"/>
        </w:rPr>
        <w:t xml:space="preserve">public health facilities have </w:t>
      </w:r>
      <w:r w:rsidR="00F02FFB" w:rsidRPr="6DBDFD51">
        <w:rPr>
          <w:sz w:val="22"/>
          <w:szCs w:val="22"/>
        </w:rPr>
        <w:t>been</w:t>
      </w:r>
      <w:r w:rsidR="0047407D" w:rsidRPr="6DBDFD51">
        <w:rPr>
          <w:sz w:val="22"/>
          <w:szCs w:val="22"/>
        </w:rPr>
        <w:t xml:space="preserve"> damaged</w:t>
      </w:r>
      <w:r w:rsidR="00EE40F4" w:rsidRPr="6DBDFD51">
        <w:rPr>
          <w:sz w:val="22"/>
          <w:szCs w:val="22"/>
        </w:rPr>
        <w:t xml:space="preserve"> and require immediate reconstruction and rehabilitation</w:t>
      </w:r>
      <w:r w:rsidR="005E4CDB" w:rsidRPr="6DBDFD51">
        <w:rPr>
          <w:sz w:val="22"/>
          <w:szCs w:val="22"/>
        </w:rPr>
        <w:t xml:space="preserve">. </w:t>
      </w:r>
      <w:r w:rsidR="00D14716" w:rsidRPr="6DBDFD51">
        <w:rPr>
          <w:sz w:val="22"/>
          <w:szCs w:val="22"/>
        </w:rPr>
        <w:t xml:space="preserve">This week, one of the hospitals hit by </w:t>
      </w:r>
      <w:r w:rsidR="004548B3" w:rsidRPr="6DBDFD51">
        <w:rPr>
          <w:sz w:val="22"/>
          <w:szCs w:val="22"/>
        </w:rPr>
        <w:t xml:space="preserve">shelling </w:t>
      </w:r>
      <w:r w:rsidR="00D14716" w:rsidRPr="6DBDFD51">
        <w:rPr>
          <w:sz w:val="22"/>
          <w:szCs w:val="22"/>
        </w:rPr>
        <w:t>was the</w:t>
      </w:r>
      <w:r w:rsidR="004548B3" w:rsidRPr="6DBDFD51">
        <w:rPr>
          <w:sz w:val="22"/>
          <w:szCs w:val="22"/>
        </w:rPr>
        <w:t xml:space="preserve"> 400-bed Al Khadra hospital in Tripoli – one </w:t>
      </w:r>
      <w:r w:rsidR="00D14716" w:rsidRPr="6DBDFD51">
        <w:rPr>
          <w:sz w:val="22"/>
          <w:szCs w:val="22"/>
        </w:rPr>
        <w:t xml:space="preserve">of the few </w:t>
      </w:r>
      <w:r w:rsidR="00EE40F4" w:rsidRPr="6DBDFD51">
        <w:rPr>
          <w:sz w:val="22"/>
          <w:szCs w:val="22"/>
        </w:rPr>
        <w:t>earmarked b</w:t>
      </w:r>
      <w:r w:rsidR="005B449C" w:rsidRPr="6DBDFD51">
        <w:rPr>
          <w:sz w:val="22"/>
          <w:szCs w:val="22"/>
        </w:rPr>
        <w:t xml:space="preserve">y the Government </w:t>
      </w:r>
      <w:r w:rsidR="00EE40F4" w:rsidRPr="6DBDFD51">
        <w:rPr>
          <w:sz w:val="22"/>
          <w:szCs w:val="22"/>
        </w:rPr>
        <w:t>as a potential</w:t>
      </w:r>
      <w:r w:rsidR="004548B3" w:rsidRPr="6DBDFD51">
        <w:rPr>
          <w:sz w:val="22"/>
          <w:szCs w:val="22"/>
        </w:rPr>
        <w:t xml:space="preserve"> COVID-19 </w:t>
      </w:r>
      <w:r w:rsidR="00EE40F4" w:rsidRPr="6DBDFD51">
        <w:rPr>
          <w:sz w:val="22"/>
          <w:szCs w:val="22"/>
        </w:rPr>
        <w:t>treatment facility</w:t>
      </w:r>
      <w:r w:rsidR="005B449C" w:rsidRPr="6DBDFD51">
        <w:rPr>
          <w:sz w:val="22"/>
          <w:szCs w:val="22"/>
        </w:rPr>
        <w:t>.</w:t>
      </w:r>
      <w:r w:rsidR="00CB758A" w:rsidRPr="6DBDFD51">
        <w:rPr>
          <w:sz w:val="22"/>
          <w:szCs w:val="22"/>
        </w:rPr>
        <w:t xml:space="preserve"> </w:t>
      </w:r>
      <w:r w:rsidR="00D14716" w:rsidRPr="6DBDFD51">
        <w:rPr>
          <w:sz w:val="22"/>
          <w:szCs w:val="22"/>
        </w:rPr>
        <w:t xml:space="preserve">Continued insecurity has </w:t>
      </w:r>
      <w:r w:rsidR="007957FD" w:rsidRPr="6DBDFD51">
        <w:rPr>
          <w:sz w:val="22"/>
          <w:szCs w:val="22"/>
        </w:rPr>
        <w:t xml:space="preserve">already </w:t>
      </w:r>
      <w:r w:rsidR="00D14716" w:rsidRPr="6DBDFD51">
        <w:rPr>
          <w:sz w:val="22"/>
          <w:szCs w:val="22"/>
        </w:rPr>
        <w:t>forced s</w:t>
      </w:r>
      <w:r w:rsidR="00605021" w:rsidRPr="6DBDFD51">
        <w:rPr>
          <w:sz w:val="22"/>
          <w:szCs w:val="22"/>
        </w:rPr>
        <w:t>everal</w:t>
      </w:r>
      <w:r w:rsidR="004D4769" w:rsidRPr="6DBDFD51">
        <w:rPr>
          <w:sz w:val="22"/>
          <w:szCs w:val="22"/>
        </w:rPr>
        <w:t xml:space="preserve"> public</w:t>
      </w:r>
      <w:r w:rsidR="00EE40F4" w:rsidRPr="6DBDFD51">
        <w:rPr>
          <w:sz w:val="22"/>
          <w:szCs w:val="22"/>
        </w:rPr>
        <w:t xml:space="preserve"> hospitals and Public Health Centres (PHC)</w:t>
      </w:r>
      <w:r w:rsidR="00240156" w:rsidRPr="6DBDFD51">
        <w:rPr>
          <w:sz w:val="22"/>
          <w:szCs w:val="22"/>
        </w:rPr>
        <w:t>,</w:t>
      </w:r>
      <w:r w:rsidR="00EE40F4" w:rsidRPr="6DBDFD51">
        <w:rPr>
          <w:sz w:val="22"/>
          <w:szCs w:val="22"/>
        </w:rPr>
        <w:t xml:space="preserve"> in both western and </w:t>
      </w:r>
      <w:r w:rsidR="00CB758A" w:rsidRPr="6DBDFD51">
        <w:rPr>
          <w:sz w:val="22"/>
          <w:szCs w:val="22"/>
        </w:rPr>
        <w:t xml:space="preserve">eastern </w:t>
      </w:r>
      <w:r w:rsidR="007957FD" w:rsidRPr="6DBDFD51">
        <w:rPr>
          <w:sz w:val="22"/>
          <w:szCs w:val="22"/>
        </w:rPr>
        <w:t>L</w:t>
      </w:r>
      <w:r w:rsidR="00605021" w:rsidRPr="6DBDFD51">
        <w:rPr>
          <w:sz w:val="22"/>
          <w:szCs w:val="22"/>
        </w:rPr>
        <w:t>ibya</w:t>
      </w:r>
      <w:r w:rsidR="00240156" w:rsidRPr="6DBDFD51">
        <w:rPr>
          <w:sz w:val="22"/>
          <w:szCs w:val="22"/>
        </w:rPr>
        <w:t>,</w:t>
      </w:r>
      <w:r w:rsidR="00605021" w:rsidRPr="6DBDFD51">
        <w:rPr>
          <w:sz w:val="22"/>
          <w:szCs w:val="22"/>
        </w:rPr>
        <w:t xml:space="preserve"> </w:t>
      </w:r>
      <w:r w:rsidR="0047407D" w:rsidRPr="6DBDFD51">
        <w:rPr>
          <w:sz w:val="22"/>
          <w:szCs w:val="22"/>
        </w:rPr>
        <w:t xml:space="preserve">to </w:t>
      </w:r>
      <w:r w:rsidR="000C3619" w:rsidRPr="6DBDFD51">
        <w:rPr>
          <w:sz w:val="22"/>
          <w:szCs w:val="22"/>
        </w:rPr>
        <w:t>close</w:t>
      </w:r>
      <w:r w:rsidR="0047407D" w:rsidRPr="6DBDFD51">
        <w:rPr>
          <w:sz w:val="22"/>
          <w:szCs w:val="22"/>
        </w:rPr>
        <w:t xml:space="preserve">. </w:t>
      </w:r>
      <w:r w:rsidR="007957FD" w:rsidRPr="6DBDFD51">
        <w:rPr>
          <w:sz w:val="22"/>
          <w:szCs w:val="22"/>
        </w:rPr>
        <w:t xml:space="preserve">The </w:t>
      </w:r>
      <w:r w:rsidR="00605021" w:rsidRPr="6DBDFD51">
        <w:rPr>
          <w:sz w:val="22"/>
          <w:szCs w:val="22"/>
        </w:rPr>
        <w:t xml:space="preserve">overstretched and </w:t>
      </w:r>
      <w:r w:rsidR="00260C2E" w:rsidRPr="6DBDFD51">
        <w:rPr>
          <w:sz w:val="22"/>
          <w:szCs w:val="22"/>
        </w:rPr>
        <w:t xml:space="preserve">under-resourced </w:t>
      </w:r>
      <w:r w:rsidR="000C3619" w:rsidRPr="6DBDFD51">
        <w:rPr>
          <w:sz w:val="22"/>
          <w:szCs w:val="22"/>
        </w:rPr>
        <w:t xml:space="preserve">Libyan </w:t>
      </w:r>
      <w:r w:rsidR="00605021" w:rsidRPr="6DBDFD51">
        <w:rPr>
          <w:sz w:val="22"/>
          <w:szCs w:val="22"/>
        </w:rPr>
        <w:t>public health facilities</w:t>
      </w:r>
      <w:r w:rsidR="000C3619" w:rsidRPr="6DBDFD51">
        <w:rPr>
          <w:sz w:val="22"/>
          <w:szCs w:val="22"/>
        </w:rPr>
        <w:t xml:space="preserve"> that remain open </w:t>
      </w:r>
      <w:r w:rsidR="007957FD" w:rsidRPr="6DBDFD51">
        <w:rPr>
          <w:sz w:val="22"/>
          <w:szCs w:val="22"/>
        </w:rPr>
        <w:t xml:space="preserve">are </w:t>
      </w:r>
      <w:r w:rsidR="00697BAA" w:rsidRPr="6DBDFD51">
        <w:rPr>
          <w:sz w:val="22"/>
          <w:szCs w:val="22"/>
        </w:rPr>
        <w:t xml:space="preserve">attending to </w:t>
      </w:r>
      <w:r w:rsidR="006A7CDC" w:rsidRPr="6DBDFD51">
        <w:rPr>
          <w:sz w:val="22"/>
          <w:szCs w:val="22"/>
        </w:rPr>
        <w:t>a stream</w:t>
      </w:r>
      <w:r w:rsidR="000C3619" w:rsidRPr="6DBDFD51">
        <w:rPr>
          <w:sz w:val="22"/>
          <w:szCs w:val="22"/>
        </w:rPr>
        <w:t xml:space="preserve"> of fighters and civilians</w:t>
      </w:r>
      <w:r w:rsidR="008763BC" w:rsidRPr="6DBDFD51">
        <w:rPr>
          <w:sz w:val="22"/>
          <w:szCs w:val="22"/>
        </w:rPr>
        <w:t xml:space="preserve"> injured in the conflict, including </w:t>
      </w:r>
      <w:r w:rsidR="00FE69B5" w:rsidRPr="6DBDFD51">
        <w:rPr>
          <w:sz w:val="22"/>
          <w:szCs w:val="22"/>
        </w:rPr>
        <w:t xml:space="preserve">as a result of </w:t>
      </w:r>
      <w:r w:rsidR="008763BC" w:rsidRPr="6DBDFD51">
        <w:rPr>
          <w:sz w:val="22"/>
          <w:szCs w:val="22"/>
        </w:rPr>
        <w:t>intensive bombardment in Tripoli</w:t>
      </w:r>
      <w:r w:rsidR="000C3619" w:rsidRPr="6DBDFD51">
        <w:rPr>
          <w:sz w:val="22"/>
          <w:szCs w:val="22"/>
        </w:rPr>
        <w:t xml:space="preserve">.  </w:t>
      </w:r>
      <w:r w:rsidR="001E7F84" w:rsidRPr="6DBDFD51">
        <w:rPr>
          <w:sz w:val="22"/>
          <w:szCs w:val="22"/>
        </w:rPr>
        <w:t>If disregard of the ceasefire agreement continues, it will undermine</w:t>
      </w:r>
      <w:r w:rsidR="00F66E6B" w:rsidRPr="6DBDFD51">
        <w:rPr>
          <w:sz w:val="22"/>
          <w:szCs w:val="22"/>
        </w:rPr>
        <w:t xml:space="preserve"> the fight against </w:t>
      </w:r>
      <w:r w:rsidR="001E7F84" w:rsidRPr="6DBDFD51">
        <w:rPr>
          <w:sz w:val="22"/>
          <w:szCs w:val="22"/>
        </w:rPr>
        <w:t>COVID-19</w:t>
      </w:r>
      <w:r w:rsidR="001409F8" w:rsidRPr="6DBDFD51">
        <w:rPr>
          <w:sz w:val="22"/>
          <w:szCs w:val="22"/>
        </w:rPr>
        <w:t xml:space="preserve"> </w:t>
      </w:r>
      <w:r w:rsidR="00C41185" w:rsidRPr="6DBDFD51">
        <w:rPr>
          <w:sz w:val="22"/>
          <w:szCs w:val="22"/>
        </w:rPr>
        <w:t>by decimating healthcare facilities and promoting attrition of the 6,000 people delivering health services (including 72,000 – 96,000 patient consultations each month</w:t>
      </w:r>
      <w:r w:rsidR="00632561" w:rsidRPr="6DBDFD51">
        <w:rPr>
          <w:sz w:val="22"/>
          <w:szCs w:val="22"/>
        </w:rPr>
        <w:t>).</w:t>
      </w:r>
      <w:r w:rsidR="00C41185" w:rsidRPr="6DBDFD51">
        <w:rPr>
          <w:sz w:val="22"/>
          <w:szCs w:val="22"/>
        </w:rPr>
        <w:t xml:space="preserve"> The compound crisis will</w:t>
      </w:r>
      <w:r w:rsidR="001409F8" w:rsidRPr="6DBDFD51">
        <w:rPr>
          <w:sz w:val="22"/>
          <w:szCs w:val="22"/>
        </w:rPr>
        <w:t xml:space="preserve"> </w:t>
      </w:r>
      <w:r w:rsidR="00C41185" w:rsidRPr="6DBDFD51">
        <w:rPr>
          <w:sz w:val="22"/>
          <w:szCs w:val="22"/>
        </w:rPr>
        <w:t>severely strain</w:t>
      </w:r>
      <w:r w:rsidR="001409F8" w:rsidRPr="6DBDFD51">
        <w:rPr>
          <w:sz w:val="22"/>
          <w:szCs w:val="22"/>
        </w:rPr>
        <w:t xml:space="preserve"> governance and the rule of law </w:t>
      </w:r>
      <w:r w:rsidR="00945B75" w:rsidRPr="6DBDFD51">
        <w:rPr>
          <w:sz w:val="22"/>
          <w:szCs w:val="22"/>
        </w:rPr>
        <w:t xml:space="preserve">in Libya </w:t>
      </w:r>
      <w:r w:rsidR="001409F8" w:rsidRPr="6DBDFD51">
        <w:rPr>
          <w:sz w:val="22"/>
          <w:szCs w:val="22"/>
        </w:rPr>
        <w:t>in the medium term.</w:t>
      </w:r>
      <w:r w:rsidR="00C41185" w:rsidRPr="6DBDFD51">
        <w:rPr>
          <w:sz w:val="22"/>
          <w:szCs w:val="22"/>
        </w:rPr>
        <w:t xml:space="preserve"> </w:t>
      </w:r>
      <w:r w:rsidR="00F66E6B" w:rsidRPr="6DBDFD51">
        <w:rPr>
          <w:sz w:val="22"/>
          <w:szCs w:val="22"/>
        </w:rPr>
        <w:t xml:space="preserve"> </w:t>
      </w:r>
    </w:p>
    <w:p w14:paraId="6FD7F0D1" w14:textId="003EF550" w:rsidR="00E656D2" w:rsidRPr="006A7CDC" w:rsidRDefault="004B4A2C" w:rsidP="6DBDFD51">
      <w:pPr>
        <w:spacing w:before="120"/>
        <w:jc w:val="both"/>
        <w:rPr>
          <w:sz w:val="22"/>
          <w:szCs w:val="22"/>
        </w:rPr>
      </w:pPr>
      <w:r w:rsidRPr="00905357">
        <w:rPr>
          <w:b/>
          <w:bCs/>
          <w:sz w:val="22"/>
          <w:szCs w:val="22"/>
        </w:rPr>
        <w:t>Because of the lack of a unified approach nationwide to respond to COVID-19, there is a clear need for a decentralized approach providing support at the local level</w:t>
      </w:r>
      <w:r w:rsidR="002B55A4" w:rsidRPr="00905357">
        <w:rPr>
          <w:b/>
          <w:bCs/>
          <w:sz w:val="22"/>
          <w:szCs w:val="22"/>
        </w:rPr>
        <w:t xml:space="preserve"> while </w:t>
      </w:r>
      <w:r w:rsidRPr="00905357">
        <w:rPr>
          <w:b/>
          <w:bCs/>
          <w:sz w:val="22"/>
          <w:szCs w:val="22"/>
        </w:rPr>
        <w:t xml:space="preserve">at the same time strengthening the mechanisms for </w:t>
      </w:r>
      <w:r w:rsidR="002B55A4" w:rsidRPr="00905357">
        <w:rPr>
          <w:b/>
          <w:bCs/>
          <w:sz w:val="22"/>
          <w:szCs w:val="22"/>
        </w:rPr>
        <w:t xml:space="preserve">government </w:t>
      </w:r>
      <w:r w:rsidRPr="00905357">
        <w:rPr>
          <w:b/>
          <w:bCs/>
          <w:sz w:val="22"/>
          <w:szCs w:val="22"/>
        </w:rPr>
        <w:t>coordination by the GN</w:t>
      </w:r>
      <w:r w:rsidR="04C7945C" w:rsidRPr="00905357">
        <w:rPr>
          <w:b/>
          <w:bCs/>
          <w:sz w:val="22"/>
          <w:szCs w:val="22"/>
        </w:rPr>
        <w:t xml:space="preserve">A </w:t>
      </w:r>
      <w:r w:rsidRPr="00905357">
        <w:rPr>
          <w:b/>
          <w:bCs/>
          <w:sz w:val="22"/>
          <w:szCs w:val="22"/>
        </w:rPr>
        <w:t xml:space="preserve">and promoting processes of coordinated actions engaging </w:t>
      </w:r>
      <w:r w:rsidR="002B55A4" w:rsidRPr="00905357">
        <w:rPr>
          <w:b/>
          <w:bCs/>
          <w:sz w:val="22"/>
          <w:szCs w:val="22"/>
        </w:rPr>
        <w:t>all the regions</w:t>
      </w:r>
      <w:r w:rsidRPr="00905357">
        <w:rPr>
          <w:b/>
          <w:bCs/>
          <w:sz w:val="22"/>
          <w:szCs w:val="22"/>
        </w:rPr>
        <w:t>.</w:t>
      </w:r>
      <w:r w:rsidR="00E656D2" w:rsidRPr="00905357">
        <w:rPr>
          <w:sz w:val="22"/>
          <w:szCs w:val="22"/>
        </w:rPr>
        <w:t xml:space="preserve"> The absence of </w:t>
      </w:r>
      <w:r w:rsidRPr="00905357">
        <w:rPr>
          <w:sz w:val="22"/>
          <w:szCs w:val="22"/>
        </w:rPr>
        <w:t xml:space="preserve">working </w:t>
      </w:r>
      <w:r w:rsidR="00E656D2" w:rsidRPr="00905357">
        <w:rPr>
          <w:color w:val="000000" w:themeColor="text1"/>
          <w:sz w:val="22"/>
          <w:szCs w:val="22"/>
        </w:rPr>
        <w:t>decentralization mechanisms – whereby municipalities are financially supported and t</w:t>
      </w:r>
      <w:r w:rsidR="19765E86" w:rsidRPr="00905357">
        <w:rPr>
          <w:color w:val="000000" w:themeColor="text1"/>
          <w:sz w:val="22"/>
          <w:szCs w:val="22"/>
        </w:rPr>
        <w:t>he ability to</w:t>
      </w:r>
      <w:r w:rsidR="19765E86" w:rsidRPr="6DBDFD51">
        <w:rPr>
          <w:color w:val="000000" w:themeColor="text1"/>
          <w:sz w:val="22"/>
          <w:szCs w:val="22"/>
        </w:rPr>
        <w:t xml:space="preserve"> </w:t>
      </w:r>
      <w:r w:rsidR="00E656D2" w:rsidRPr="6DBDFD51">
        <w:rPr>
          <w:color w:val="000000" w:themeColor="text1"/>
          <w:sz w:val="22"/>
          <w:szCs w:val="22"/>
        </w:rPr>
        <w:t>respond</w:t>
      </w:r>
      <w:r w:rsidR="00CC2713">
        <w:rPr>
          <w:color w:val="000000" w:themeColor="text1"/>
          <w:sz w:val="22"/>
          <w:szCs w:val="22"/>
        </w:rPr>
        <w:t xml:space="preserve"> </w:t>
      </w:r>
      <w:r w:rsidR="00E656D2" w:rsidRPr="6DBDFD51">
        <w:rPr>
          <w:color w:val="000000" w:themeColor="text1"/>
          <w:sz w:val="22"/>
          <w:szCs w:val="22"/>
        </w:rPr>
        <w:t xml:space="preserve">on a local/community basis to the pandemic, </w:t>
      </w:r>
      <w:r w:rsidR="4F87ED01" w:rsidRPr="6DBDFD51">
        <w:rPr>
          <w:color w:val="000000" w:themeColor="text1"/>
          <w:sz w:val="22"/>
          <w:szCs w:val="22"/>
        </w:rPr>
        <w:t xml:space="preserve">has </w:t>
      </w:r>
      <w:r w:rsidR="00E656D2" w:rsidRPr="6DBDFD51">
        <w:rPr>
          <w:color w:val="000000" w:themeColor="text1"/>
          <w:sz w:val="22"/>
          <w:szCs w:val="22"/>
        </w:rPr>
        <w:t>been also advised/strategized by DSRSG/HC/RC</w:t>
      </w:r>
      <w:r w:rsidR="00E656D2" w:rsidRPr="6DBDFD51">
        <w:rPr>
          <w:color w:val="FF0000"/>
          <w:sz w:val="22"/>
          <w:szCs w:val="22"/>
        </w:rPr>
        <w:t xml:space="preserve"> </w:t>
      </w:r>
      <w:r w:rsidR="00E656D2" w:rsidRPr="6DBDFD51">
        <w:rPr>
          <w:sz w:val="22"/>
          <w:szCs w:val="22"/>
        </w:rPr>
        <w:t xml:space="preserve">and central support to municipalities has caused frustrations between local authorities and the GNA. Local mayors and businessmen have started taking prevention measures themselves, including to gather donations, set up quarantine centres and fund local clinics. </w:t>
      </w:r>
    </w:p>
    <w:p w14:paraId="0735AC19" w14:textId="3E33FE2A" w:rsidR="0078145E" w:rsidRPr="00675B2E" w:rsidRDefault="009B724F" w:rsidP="6DBDFD51">
      <w:pPr>
        <w:spacing w:before="120"/>
        <w:jc w:val="both"/>
        <w:rPr>
          <w:color w:val="000000" w:themeColor="text1"/>
          <w:sz w:val="22"/>
          <w:szCs w:val="22"/>
        </w:rPr>
      </w:pPr>
      <w:bookmarkStart w:id="5" w:name="_Hlk39144060"/>
      <w:r w:rsidRPr="6DBDFD51">
        <w:rPr>
          <w:b/>
          <w:bCs/>
          <w:sz w:val="22"/>
          <w:szCs w:val="22"/>
        </w:rPr>
        <w:lastRenderedPageBreak/>
        <w:t xml:space="preserve">The </w:t>
      </w:r>
      <w:r w:rsidRPr="6DBDFD51">
        <w:rPr>
          <w:b/>
          <w:bCs/>
          <w:color w:val="000000" w:themeColor="text1"/>
          <w:sz w:val="22"/>
          <w:szCs w:val="22"/>
        </w:rPr>
        <w:t>virus threatens to negatively impact the</w:t>
      </w:r>
      <w:r w:rsidR="00D07A5C" w:rsidRPr="6DBDFD51">
        <w:rPr>
          <w:b/>
          <w:bCs/>
          <w:color w:val="000000" w:themeColor="text1"/>
          <w:sz w:val="22"/>
          <w:szCs w:val="22"/>
        </w:rPr>
        <w:t xml:space="preserve"> safety and the</w:t>
      </w:r>
      <w:r w:rsidRPr="6DBDFD51">
        <w:rPr>
          <w:b/>
          <w:bCs/>
          <w:color w:val="000000" w:themeColor="text1"/>
          <w:sz w:val="22"/>
          <w:szCs w:val="22"/>
        </w:rPr>
        <w:t xml:space="preserve"> livelihoods of vulnerable </w:t>
      </w:r>
      <w:r w:rsidR="00D07A5C" w:rsidRPr="6DBDFD51">
        <w:rPr>
          <w:b/>
          <w:bCs/>
          <w:color w:val="000000" w:themeColor="text1"/>
          <w:sz w:val="22"/>
          <w:szCs w:val="22"/>
        </w:rPr>
        <w:t xml:space="preserve">and marginalized </w:t>
      </w:r>
      <w:r w:rsidRPr="6DBDFD51">
        <w:rPr>
          <w:b/>
          <w:bCs/>
          <w:color w:val="000000" w:themeColor="text1"/>
          <w:sz w:val="22"/>
          <w:szCs w:val="22"/>
        </w:rPr>
        <w:t>groups</w:t>
      </w:r>
      <w:r w:rsidR="00D07A5C" w:rsidRPr="6DBDFD51">
        <w:rPr>
          <w:b/>
          <w:bCs/>
          <w:color w:val="000000" w:themeColor="text1"/>
          <w:sz w:val="22"/>
          <w:szCs w:val="22"/>
        </w:rPr>
        <w:t xml:space="preserve">, </w:t>
      </w:r>
      <w:r w:rsidR="00905357">
        <w:rPr>
          <w:b/>
          <w:bCs/>
          <w:color w:val="000000" w:themeColor="text1"/>
          <w:sz w:val="22"/>
          <w:szCs w:val="22"/>
        </w:rPr>
        <w:t>especially</w:t>
      </w:r>
      <w:r w:rsidRPr="6DBDFD51">
        <w:rPr>
          <w:b/>
          <w:bCs/>
          <w:color w:val="000000" w:themeColor="text1"/>
          <w:sz w:val="22"/>
          <w:szCs w:val="22"/>
        </w:rPr>
        <w:t xml:space="preserve"> migrants, refugees, IDPs and women</w:t>
      </w:r>
      <w:r w:rsidR="00D07A5C" w:rsidRPr="6DBDFD51">
        <w:rPr>
          <w:b/>
          <w:bCs/>
          <w:color w:val="000000" w:themeColor="text1"/>
          <w:sz w:val="22"/>
          <w:szCs w:val="22"/>
        </w:rPr>
        <w:t>.</w:t>
      </w:r>
      <w:r w:rsidR="00D07A5C" w:rsidRPr="6DBDFD51">
        <w:rPr>
          <w:color w:val="000000" w:themeColor="text1"/>
          <w:sz w:val="22"/>
          <w:szCs w:val="22"/>
        </w:rPr>
        <w:t xml:space="preserve"> </w:t>
      </w:r>
      <w:r w:rsidR="00D07A5C" w:rsidRPr="6DBDFD51">
        <w:rPr>
          <w:b/>
          <w:bCs/>
          <w:color w:val="000000" w:themeColor="text1"/>
          <w:sz w:val="22"/>
          <w:szCs w:val="22"/>
        </w:rPr>
        <w:t xml:space="preserve"> </w:t>
      </w:r>
      <w:r w:rsidR="00A5685F" w:rsidRPr="6DBDFD51">
        <w:rPr>
          <w:color w:val="000000" w:themeColor="text1"/>
          <w:sz w:val="22"/>
          <w:szCs w:val="22"/>
        </w:rPr>
        <w:t>Some 654,081 migrants, refugees and asylum seekers and 355,672 IDPs remain most at risk to the impact of COVID-19</w:t>
      </w:r>
      <w:r w:rsidR="00E118F6" w:rsidRPr="6DBDFD51">
        <w:rPr>
          <w:color w:val="000000" w:themeColor="text1"/>
          <w:sz w:val="22"/>
          <w:szCs w:val="22"/>
        </w:rPr>
        <w:t xml:space="preserve"> in Libya. Social distancing is a major challenge for this section of Libya’s society, owing to </w:t>
      </w:r>
      <w:r w:rsidR="00A5685F" w:rsidRPr="6DBDFD51">
        <w:rPr>
          <w:color w:val="000000" w:themeColor="text1"/>
          <w:sz w:val="22"/>
          <w:szCs w:val="22"/>
        </w:rPr>
        <w:t>inadequate shelter</w:t>
      </w:r>
      <w:r w:rsidR="00354928">
        <w:rPr>
          <w:color w:val="000000" w:themeColor="text1"/>
          <w:sz w:val="22"/>
          <w:szCs w:val="22"/>
        </w:rPr>
        <w:t>, dependence on informal employment and daily wage-based jobs,</w:t>
      </w:r>
      <w:r w:rsidR="00A5685F" w:rsidRPr="6DBDFD51">
        <w:rPr>
          <w:color w:val="000000" w:themeColor="text1"/>
          <w:sz w:val="22"/>
          <w:szCs w:val="22"/>
        </w:rPr>
        <w:t xml:space="preserve"> coupled with a high population density inside IDP settlements</w:t>
      </w:r>
      <w:r w:rsidR="000D4E23" w:rsidRPr="6DBDFD51">
        <w:rPr>
          <w:color w:val="000000" w:themeColor="text1"/>
          <w:sz w:val="22"/>
          <w:szCs w:val="22"/>
        </w:rPr>
        <w:t xml:space="preserve">, </w:t>
      </w:r>
      <w:r w:rsidR="00A5685F" w:rsidRPr="6DBDFD51">
        <w:rPr>
          <w:color w:val="000000" w:themeColor="text1"/>
          <w:sz w:val="22"/>
          <w:szCs w:val="22"/>
        </w:rPr>
        <w:t>migrant households</w:t>
      </w:r>
      <w:r w:rsidR="000D4E23" w:rsidRPr="6DBDFD51">
        <w:rPr>
          <w:color w:val="000000" w:themeColor="text1"/>
          <w:sz w:val="22"/>
          <w:szCs w:val="22"/>
        </w:rPr>
        <w:t xml:space="preserve"> </w:t>
      </w:r>
      <w:r w:rsidR="0002595F" w:rsidRPr="6DBDFD51">
        <w:rPr>
          <w:color w:val="000000" w:themeColor="text1"/>
          <w:sz w:val="22"/>
          <w:szCs w:val="22"/>
        </w:rPr>
        <w:t xml:space="preserve">and </w:t>
      </w:r>
      <w:r w:rsidR="000D4E23" w:rsidRPr="6DBDFD51">
        <w:rPr>
          <w:color w:val="000000" w:themeColor="text1"/>
          <w:sz w:val="22"/>
          <w:szCs w:val="22"/>
        </w:rPr>
        <w:t xml:space="preserve">detention centres. </w:t>
      </w:r>
      <w:r w:rsidR="0002595F" w:rsidRPr="6DBDFD51">
        <w:rPr>
          <w:color w:val="000000" w:themeColor="text1"/>
          <w:sz w:val="22"/>
          <w:szCs w:val="22"/>
        </w:rPr>
        <w:t xml:space="preserve">Particularly vulnerable and exposed to possible abuse from misinformed authorities are the thousands of asylum seekers, refugees and migrants held in 11 "official" detention centres and “private prisons" run by armed groups and traffickers across the country.  </w:t>
      </w:r>
      <w:r w:rsidR="00AB2832" w:rsidRPr="6DBDFD51">
        <w:rPr>
          <w:color w:val="000000" w:themeColor="text1"/>
          <w:sz w:val="22"/>
          <w:szCs w:val="22"/>
        </w:rPr>
        <w:t>Un</w:t>
      </w:r>
      <w:r w:rsidR="006A7CDC" w:rsidRPr="6DBDFD51">
        <w:rPr>
          <w:color w:val="000000" w:themeColor="text1"/>
          <w:sz w:val="22"/>
          <w:szCs w:val="22"/>
        </w:rPr>
        <w:t>-</w:t>
      </w:r>
      <w:r w:rsidR="00AB2832" w:rsidRPr="6DBDFD51">
        <w:rPr>
          <w:color w:val="000000" w:themeColor="text1"/>
          <w:sz w:val="22"/>
          <w:szCs w:val="22"/>
        </w:rPr>
        <w:t xml:space="preserve">detained migrants, refugees and asylum seekers as well as IDPs </w:t>
      </w:r>
      <w:r w:rsidR="003F0C1D" w:rsidRPr="6DBDFD51">
        <w:rPr>
          <w:color w:val="000000" w:themeColor="text1"/>
          <w:sz w:val="22"/>
          <w:szCs w:val="22"/>
        </w:rPr>
        <w:t xml:space="preserve">also </w:t>
      </w:r>
      <w:r w:rsidR="00061509" w:rsidRPr="6DBDFD51">
        <w:rPr>
          <w:color w:val="000000" w:themeColor="text1"/>
          <w:sz w:val="22"/>
          <w:szCs w:val="22"/>
        </w:rPr>
        <w:t>have</w:t>
      </w:r>
      <w:r w:rsidR="00AB2832" w:rsidRPr="6DBDFD51">
        <w:rPr>
          <w:color w:val="000000" w:themeColor="text1"/>
          <w:sz w:val="22"/>
          <w:szCs w:val="22"/>
        </w:rPr>
        <w:t xml:space="preserve"> limited access to information, resources or healthcare</w:t>
      </w:r>
      <w:r w:rsidR="007325AF" w:rsidRPr="6DBDFD51">
        <w:rPr>
          <w:color w:val="000000" w:themeColor="text1"/>
          <w:sz w:val="22"/>
          <w:szCs w:val="22"/>
        </w:rPr>
        <w:t xml:space="preserve">, and </w:t>
      </w:r>
      <w:r w:rsidR="00061509" w:rsidRPr="6DBDFD51">
        <w:rPr>
          <w:color w:val="000000" w:themeColor="text1"/>
          <w:sz w:val="22"/>
          <w:szCs w:val="22"/>
        </w:rPr>
        <w:t xml:space="preserve">are </w:t>
      </w:r>
      <w:r w:rsidR="003F0C1D" w:rsidRPr="6DBDFD51">
        <w:rPr>
          <w:color w:val="000000" w:themeColor="text1"/>
          <w:sz w:val="22"/>
          <w:szCs w:val="22"/>
        </w:rPr>
        <w:t xml:space="preserve">increasingly </w:t>
      </w:r>
      <w:r w:rsidR="00061509" w:rsidRPr="6DBDFD51">
        <w:rPr>
          <w:color w:val="000000" w:themeColor="text1"/>
          <w:sz w:val="22"/>
          <w:szCs w:val="22"/>
        </w:rPr>
        <w:t xml:space="preserve">subject to </w:t>
      </w:r>
      <w:r w:rsidR="007325AF" w:rsidRPr="6DBDFD51">
        <w:rPr>
          <w:color w:val="000000" w:themeColor="text1"/>
          <w:sz w:val="22"/>
          <w:szCs w:val="22"/>
        </w:rPr>
        <w:t>discrimination</w:t>
      </w:r>
      <w:r w:rsidR="00B84CEC">
        <w:rPr>
          <w:color w:val="000000" w:themeColor="text1"/>
          <w:sz w:val="22"/>
          <w:szCs w:val="22"/>
        </w:rPr>
        <w:t xml:space="preserve"> and human rights abuses</w:t>
      </w:r>
      <w:r w:rsidR="008427CE" w:rsidRPr="6DBDFD51">
        <w:rPr>
          <w:color w:val="000000" w:themeColor="text1"/>
          <w:sz w:val="22"/>
          <w:szCs w:val="22"/>
        </w:rPr>
        <w:t xml:space="preserve"> by authorities</w:t>
      </w:r>
      <w:r w:rsidR="00A11F9C" w:rsidRPr="6DBDFD51">
        <w:rPr>
          <w:color w:val="000000" w:themeColor="text1"/>
          <w:sz w:val="22"/>
          <w:szCs w:val="22"/>
        </w:rPr>
        <w:t>.  A</w:t>
      </w:r>
      <w:r w:rsidR="00077D4D" w:rsidRPr="6DBDFD51">
        <w:rPr>
          <w:color w:val="000000" w:themeColor="text1"/>
          <w:sz w:val="22"/>
          <w:szCs w:val="22"/>
        </w:rPr>
        <w:t xml:space="preserve"> noted decline in the availability of food, fuel, water, medical supplies and power supply</w:t>
      </w:r>
      <w:r w:rsidR="00A11F9C" w:rsidRPr="6DBDFD51">
        <w:rPr>
          <w:color w:val="000000" w:themeColor="text1"/>
          <w:sz w:val="22"/>
          <w:szCs w:val="22"/>
        </w:rPr>
        <w:t xml:space="preserve"> since the current phase of the civil war began in 2014,</w:t>
      </w:r>
      <w:r w:rsidR="00077D4D" w:rsidRPr="6DBDFD51">
        <w:rPr>
          <w:color w:val="000000" w:themeColor="text1"/>
          <w:sz w:val="22"/>
          <w:szCs w:val="22"/>
        </w:rPr>
        <w:t xml:space="preserve"> </w:t>
      </w:r>
      <w:r w:rsidR="00A11F9C" w:rsidRPr="6DBDFD51">
        <w:rPr>
          <w:color w:val="000000" w:themeColor="text1"/>
          <w:sz w:val="22"/>
          <w:szCs w:val="22"/>
        </w:rPr>
        <w:t xml:space="preserve">has been </w:t>
      </w:r>
      <w:r w:rsidR="00271F28" w:rsidRPr="6DBDFD51">
        <w:rPr>
          <w:color w:val="000000" w:themeColor="text1"/>
          <w:sz w:val="22"/>
          <w:szCs w:val="22"/>
        </w:rPr>
        <w:t xml:space="preserve">putting </w:t>
      </w:r>
      <w:r w:rsidR="00E16F08" w:rsidRPr="6DBDFD51">
        <w:rPr>
          <w:color w:val="000000" w:themeColor="text1"/>
          <w:sz w:val="22"/>
          <w:szCs w:val="22"/>
        </w:rPr>
        <w:t xml:space="preserve">a </w:t>
      </w:r>
      <w:r w:rsidR="00271F28" w:rsidRPr="6DBDFD51">
        <w:rPr>
          <w:color w:val="000000" w:themeColor="text1"/>
          <w:sz w:val="22"/>
          <w:szCs w:val="22"/>
        </w:rPr>
        <w:t xml:space="preserve">strain on </w:t>
      </w:r>
      <w:r w:rsidR="00077D4D" w:rsidRPr="6DBDFD51">
        <w:rPr>
          <w:color w:val="000000" w:themeColor="text1"/>
          <w:sz w:val="22"/>
          <w:szCs w:val="22"/>
        </w:rPr>
        <w:t>IDPs and about 35-odd host communities</w:t>
      </w:r>
      <w:r w:rsidR="00A11F9C" w:rsidRPr="6DBDFD51">
        <w:rPr>
          <w:color w:val="000000" w:themeColor="text1"/>
          <w:sz w:val="22"/>
          <w:szCs w:val="22"/>
        </w:rPr>
        <w:t xml:space="preserve">, and as a result, many </w:t>
      </w:r>
      <w:r w:rsidR="00271F28" w:rsidRPr="6DBDFD51">
        <w:rPr>
          <w:color w:val="000000" w:themeColor="text1"/>
          <w:sz w:val="22"/>
          <w:szCs w:val="22"/>
        </w:rPr>
        <w:t xml:space="preserve">IDPs in the South are already </w:t>
      </w:r>
      <w:r w:rsidR="008427CE" w:rsidRPr="6DBDFD51">
        <w:rPr>
          <w:color w:val="000000" w:themeColor="text1"/>
          <w:sz w:val="22"/>
          <w:szCs w:val="22"/>
        </w:rPr>
        <w:t xml:space="preserve">denied </w:t>
      </w:r>
      <w:r w:rsidR="00271F28" w:rsidRPr="6DBDFD51">
        <w:rPr>
          <w:color w:val="000000" w:themeColor="text1"/>
          <w:sz w:val="22"/>
          <w:szCs w:val="22"/>
        </w:rPr>
        <w:t xml:space="preserve">access </w:t>
      </w:r>
      <w:r w:rsidR="008427CE" w:rsidRPr="6DBDFD51">
        <w:rPr>
          <w:color w:val="000000" w:themeColor="text1"/>
          <w:sz w:val="22"/>
          <w:szCs w:val="22"/>
        </w:rPr>
        <w:t xml:space="preserve">to </w:t>
      </w:r>
      <w:r w:rsidR="00271F28" w:rsidRPr="6DBDFD51">
        <w:rPr>
          <w:color w:val="000000" w:themeColor="text1"/>
          <w:sz w:val="22"/>
          <w:szCs w:val="22"/>
        </w:rPr>
        <w:t xml:space="preserve">healthcare.  </w:t>
      </w:r>
      <w:r w:rsidR="001D5F4C" w:rsidRPr="6DBDFD51">
        <w:rPr>
          <w:color w:val="000000" w:themeColor="text1"/>
          <w:sz w:val="22"/>
          <w:szCs w:val="22"/>
        </w:rPr>
        <w:t xml:space="preserve">After imposition of the curfew, migrants have also reported an increase in </w:t>
      </w:r>
      <w:r w:rsidR="00B25355" w:rsidRPr="6DBDFD51">
        <w:rPr>
          <w:color w:val="000000" w:themeColor="text1"/>
          <w:sz w:val="22"/>
          <w:szCs w:val="22"/>
        </w:rPr>
        <w:t xml:space="preserve">prices for goods and accommodation. </w:t>
      </w:r>
      <w:r w:rsidR="00385B9E" w:rsidRPr="6DBDFD51">
        <w:rPr>
          <w:color w:val="000000" w:themeColor="text1"/>
          <w:sz w:val="22"/>
          <w:szCs w:val="22"/>
        </w:rPr>
        <w:t>P</w:t>
      </w:r>
      <w:r w:rsidR="008427CE" w:rsidRPr="6DBDFD51">
        <w:rPr>
          <w:color w:val="000000" w:themeColor="text1"/>
          <w:sz w:val="22"/>
          <w:szCs w:val="22"/>
        </w:rPr>
        <w:t>rotection</w:t>
      </w:r>
      <w:r w:rsidR="00385B9E" w:rsidRPr="6DBDFD51">
        <w:rPr>
          <w:color w:val="000000" w:themeColor="text1"/>
          <w:sz w:val="22"/>
          <w:szCs w:val="22"/>
        </w:rPr>
        <w:t xml:space="preserve"> is also a major concern, </w:t>
      </w:r>
      <w:r w:rsidR="008427CE" w:rsidRPr="6DBDFD51">
        <w:rPr>
          <w:color w:val="000000" w:themeColor="text1"/>
          <w:sz w:val="22"/>
          <w:szCs w:val="22"/>
        </w:rPr>
        <w:t xml:space="preserve">owing to the widely held belief that migrants have brought the COVID-19 disease to Libya, and the conflation of COVID-19 with tuberculosis, another disease used to stigmatise migrants. </w:t>
      </w:r>
      <w:r w:rsidR="008E21AB" w:rsidRPr="6DBDFD51">
        <w:rPr>
          <w:sz w:val="22"/>
          <w:szCs w:val="22"/>
        </w:rPr>
        <w:t xml:space="preserve">As the </w:t>
      </w:r>
      <w:r w:rsidR="00147883">
        <w:rPr>
          <w:sz w:val="22"/>
          <w:szCs w:val="22"/>
        </w:rPr>
        <w:t>UN</w:t>
      </w:r>
      <w:r w:rsidR="008E21AB" w:rsidRPr="6DBDFD51">
        <w:rPr>
          <w:sz w:val="22"/>
          <w:szCs w:val="22"/>
        </w:rPr>
        <w:t xml:space="preserve">SG emphasized in his </w:t>
      </w:r>
      <w:hyperlink r:id="rId13">
        <w:r w:rsidR="008E21AB" w:rsidRPr="6DBDFD51">
          <w:rPr>
            <w:sz w:val="22"/>
            <w:szCs w:val="22"/>
          </w:rPr>
          <w:t>appeal</w:t>
        </w:r>
      </w:hyperlink>
      <w:r w:rsidR="008E21AB" w:rsidRPr="6DBDFD51">
        <w:rPr>
          <w:sz w:val="22"/>
          <w:szCs w:val="22"/>
        </w:rPr>
        <w:t xml:space="preserve"> </w:t>
      </w:r>
      <w:r w:rsidR="008E21AB" w:rsidRPr="00905357">
        <w:rPr>
          <w:sz w:val="22"/>
          <w:szCs w:val="22"/>
        </w:rPr>
        <w:t>for a global ceasefire, women are among the most vulnerable in times of war and face the highest risk of</w:t>
      </w:r>
      <w:r w:rsidR="008E21AB" w:rsidRPr="00905357">
        <w:t xml:space="preserve"> suffering </w:t>
      </w:r>
      <w:r w:rsidR="008E21AB" w:rsidRPr="00905357">
        <w:rPr>
          <w:sz w:val="22"/>
          <w:szCs w:val="22"/>
        </w:rPr>
        <w:t xml:space="preserve">devastating losses from the pandemic, and global </w:t>
      </w:r>
      <w:r w:rsidR="008E21AB" w:rsidRPr="00905357">
        <w:t xml:space="preserve">spikes in domestic violence and </w:t>
      </w:r>
      <w:r w:rsidR="008E21AB" w:rsidRPr="00905357">
        <w:rPr>
          <w:sz w:val="22"/>
          <w:szCs w:val="22"/>
        </w:rPr>
        <w:t xml:space="preserve">maternal mortality are predicted. </w:t>
      </w:r>
    </w:p>
    <w:p w14:paraId="529877AD" w14:textId="77777777" w:rsidR="00675B2E" w:rsidRDefault="00675B2E" w:rsidP="0078145E">
      <w:pPr>
        <w:pStyle w:val="NormalWeb"/>
        <w:shd w:val="clear" w:color="auto" w:fill="FFFFFF"/>
        <w:spacing w:before="0" w:beforeAutospacing="0" w:after="0" w:afterAutospacing="0"/>
        <w:jc w:val="both"/>
        <w:rPr>
          <w:color w:val="000000" w:themeColor="text1"/>
          <w:sz w:val="22"/>
          <w:szCs w:val="22"/>
          <w:lang w:val="en-GB"/>
        </w:rPr>
      </w:pPr>
    </w:p>
    <w:p w14:paraId="6E18537C" w14:textId="4F1E25AF" w:rsidR="0078145E" w:rsidRPr="00905357" w:rsidRDefault="0078145E" w:rsidP="0078145E">
      <w:pPr>
        <w:pStyle w:val="NormalWeb"/>
        <w:shd w:val="clear" w:color="auto" w:fill="FFFFFF"/>
        <w:spacing w:before="0" w:beforeAutospacing="0" w:after="0" w:afterAutospacing="0"/>
        <w:jc w:val="both"/>
        <w:rPr>
          <w:rFonts w:ascii="Helvetica Neue" w:hAnsi="Helvetica Neue"/>
          <w:color w:val="3F3F3F"/>
          <w:sz w:val="21"/>
          <w:szCs w:val="21"/>
        </w:rPr>
      </w:pPr>
      <w:r w:rsidRPr="00905357">
        <w:rPr>
          <w:color w:val="000000" w:themeColor="text1"/>
          <w:sz w:val="22"/>
          <w:szCs w:val="22"/>
          <w:lang w:val="en-GB"/>
        </w:rPr>
        <w:t>In Libya, domestic violence is regarded as a ‘taboo issue’ and therefore discussing incidents of domestic violence is considered "shameful" bringing dishonour on the victim and her family. In addition, many victims prefer not to make complaints of domestic violence due to ‘social stigma’ and fear that they will be rejected by their husband and their extended family. Within Libyan society the issue of domestic violence is considered ‘western’ and is therefore viewed with ‘suspicion’. As is typical with most countries in the MENA region, Libya has very few laws protecting women against domestic violence. The imposed lockdown due to the outbreak of COVID-19 has emboldened abusers and inadvertently put victims of domestic violence (i.e., women) in greater danger as they are trapped and cut off from accessing any means of support or seeking protection due to the halt in all socio-economic activities.</w:t>
      </w:r>
      <w:r w:rsidRPr="00905357">
        <w:rPr>
          <w:rFonts w:ascii="Helvetica Neue" w:hAnsi="Helvetica Neue"/>
          <w:color w:val="3F3F3F"/>
          <w:sz w:val="21"/>
          <w:szCs w:val="21"/>
        </w:rPr>
        <w:t xml:space="preserve"> </w:t>
      </w:r>
      <w:r w:rsidRPr="00905357">
        <w:rPr>
          <w:rFonts w:ascii="Helvetica Neue" w:hAnsi="Helvetica Neue"/>
          <w:color w:val="3F3F3F"/>
          <w:sz w:val="21"/>
          <w:szCs w:val="21"/>
          <w:lang w:val="en-GB"/>
        </w:rPr>
        <w:t>The COVID-19 outbreak has caused a reduction in services for survivors of domestic violence as well as an increase in the numbers of calls to hotlines or other support services.</w:t>
      </w:r>
      <w:r w:rsidRPr="00905357">
        <w:rPr>
          <w:rFonts w:ascii="Helvetica Neue" w:hAnsi="Helvetica Neue"/>
          <w:color w:val="3F3F3F"/>
          <w:sz w:val="21"/>
          <w:szCs w:val="21"/>
        </w:rPr>
        <w:t xml:space="preserve"> </w:t>
      </w:r>
    </w:p>
    <w:p w14:paraId="3647A9F8" w14:textId="77777777" w:rsidR="0078145E" w:rsidRPr="00905357" w:rsidRDefault="0078145E" w:rsidP="0078145E">
      <w:pPr>
        <w:pStyle w:val="NormalWeb"/>
        <w:shd w:val="clear" w:color="auto" w:fill="FFFFFF"/>
        <w:spacing w:before="0" w:beforeAutospacing="0" w:after="0" w:afterAutospacing="0"/>
        <w:jc w:val="both"/>
        <w:rPr>
          <w:rFonts w:ascii="Helvetica Neue" w:hAnsi="Helvetica Neue"/>
          <w:color w:val="3F3F3F"/>
          <w:sz w:val="21"/>
          <w:szCs w:val="21"/>
        </w:rPr>
      </w:pPr>
    </w:p>
    <w:p w14:paraId="7650548D" w14:textId="77777777" w:rsidR="0078145E" w:rsidRPr="00905357" w:rsidRDefault="0078145E" w:rsidP="0078145E">
      <w:pPr>
        <w:pStyle w:val="NormalWeb"/>
        <w:shd w:val="clear" w:color="auto" w:fill="FFFFFF"/>
        <w:spacing w:before="0" w:beforeAutospacing="0" w:after="0" w:afterAutospacing="0"/>
        <w:jc w:val="both"/>
        <w:rPr>
          <w:sz w:val="22"/>
          <w:szCs w:val="22"/>
          <w:lang w:val="en-GB"/>
        </w:rPr>
      </w:pPr>
      <w:r w:rsidRPr="00905357">
        <w:rPr>
          <w:sz w:val="22"/>
          <w:szCs w:val="22"/>
          <w:lang w:val="en-GB"/>
        </w:rPr>
        <w:t>The internet is a prominent tool that many victims of domestic violence can use to highlight their predicament, however, many women in rural areas in Libya do not have the luxury of internet access. There are many vulnerable women in remote areas or villages in Libya and they do not have access to the internet or a smartphone to inform about their abuse. In addition, there are also many girls and women in Libya who, despite coming from affluent or middle-class families, will be cut off from the world by force as they will be forced to hand over their devices to men who claim to need it more or who are intentionally trying to stop them from seeking escape from abuse. Even traditional methods of actively looking for women in remote areas or allowing them a safe space to speak up against abuse in health clinics, are being diminished as an effect of the response to COVID-19. With lockdowns imposed in response to the COVID-19 pandemic, women will be less able to escape to already under-resourced shelters.</w:t>
      </w:r>
    </w:p>
    <w:p w14:paraId="02C88DAD" w14:textId="77777777" w:rsidR="0078145E" w:rsidRPr="00905357" w:rsidRDefault="0078145E" w:rsidP="0078145E">
      <w:pPr>
        <w:pStyle w:val="NormalWeb"/>
        <w:shd w:val="clear" w:color="auto" w:fill="FFFFFF"/>
        <w:spacing w:before="0" w:beforeAutospacing="0" w:after="0" w:afterAutospacing="0"/>
        <w:jc w:val="both"/>
        <w:rPr>
          <w:rFonts w:ascii="Helvetica Neue" w:hAnsi="Helvetica Neue"/>
          <w:color w:val="3F3F3F"/>
          <w:sz w:val="21"/>
          <w:szCs w:val="21"/>
        </w:rPr>
      </w:pPr>
    </w:p>
    <w:p w14:paraId="62EFE16A" w14:textId="77777777" w:rsidR="0078145E" w:rsidRPr="00905357" w:rsidRDefault="0078145E" w:rsidP="0078145E">
      <w:pPr>
        <w:jc w:val="both"/>
        <w:rPr>
          <w:sz w:val="22"/>
          <w:szCs w:val="22"/>
        </w:rPr>
      </w:pPr>
      <w:r w:rsidRPr="00905357">
        <w:rPr>
          <w:sz w:val="22"/>
          <w:szCs w:val="22"/>
        </w:rPr>
        <w:t>To tackle these gender specific issues, UNDP Libya is setting up a whole-of society response bringing together the relevant stakeholders around the table. In regards to providing support to victims of gender-based violence in Libya, this will include providing support for institutions and NGOs/CSOs engaged in providing protection for women at the national and local level; and raising awareness on domestic violence during the COVID-19 outbreak by engaging a network of communication officers of municipalities in the South, West, and East of the country in an e-learning platform that includes gender based violence electives within its curriculum.</w:t>
      </w:r>
    </w:p>
    <w:p w14:paraId="4DFEC677" w14:textId="322C972E" w:rsidR="008E21AB" w:rsidRPr="006A7CDC" w:rsidRDefault="0078145E" w:rsidP="6DBDFD51">
      <w:pPr>
        <w:spacing w:before="120"/>
        <w:jc w:val="both"/>
        <w:rPr>
          <w:color w:val="000000"/>
          <w:sz w:val="22"/>
          <w:szCs w:val="22"/>
        </w:rPr>
      </w:pPr>
      <w:r w:rsidRPr="00905357">
        <w:rPr>
          <w:sz w:val="22"/>
          <w:szCs w:val="22"/>
        </w:rPr>
        <w:t>I</w:t>
      </w:r>
      <w:r w:rsidR="008E21AB" w:rsidRPr="00905357">
        <w:rPr>
          <w:sz w:val="22"/>
          <w:szCs w:val="22"/>
        </w:rPr>
        <w:t>n Libya, fuel shortages will place many women in a uniquely vulnerable position</w:t>
      </w:r>
      <w:r w:rsidR="008E21AB" w:rsidRPr="6DBDFD51">
        <w:rPr>
          <w:sz w:val="22"/>
          <w:szCs w:val="22"/>
        </w:rPr>
        <w:t xml:space="preserve"> in a COVID-19 outbreak since even services including maternal and childbirth service have been largely disrupted and unavailable in many communities, </w:t>
      </w:r>
      <w:r w:rsidR="007430B0" w:rsidRPr="6DBDFD51">
        <w:rPr>
          <w:sz w:val="22"/>
          <w:szCs w:val="22"/>
        </w:rPr>
        <w:t xml:space="preserve">and travel </w:t>
      </w:r>
      <w:r w:rsidR="008E21AB" w:rsidRPr="6DBDFD51">
        <w:rPr>
          <w:sz w:val="22"/>
          <w:szCs w:val="22"/>
        </w:rPr>
        <w:t>expose</w:t>
      </w:r>
      <w:r w:rsidR="007430B0" w:rsidRPr="6DBDFD51">
        <w:rPr>
          <w:sz w:val="22"/>
          <w:szCs w:val="22"/>
        </w:rPr>
        <w:t>s</w:t>
      </w:r>
      <w:r w:rsidR="008E21AB" w:rsidRPr="6DBDFD51">
        <w:rPr>
          <w:sz w:val="22"/>
          <w:szCs w:val="22"/>
        </w:rPr>
        <w:t xml:space="preserve"> </w:t>
      </w:r>
      <w:r w:rsidR="007430B0" w:rsidRPr="6DBDFD51">
        <w:rPr>
          <w:sz w:val="22"/>
          <w:szCs w:val="22"/>
        </w:rPr>
        <w:t>women</w:t>
      </w:r>
      <w:r w:rsidR="008E21AB" w:rsidRPr="6DBDFD51">
        <w:rPr>
          <w:sz w:val="22"/>
          <w:szCs w:val="22"/>
        </w:rPr>
        <w:t xml:space="preserve"> and </w:t>
      </w:r>
      <w:r w:rsidR="007430B0" w:rsidRPr="6DBDFD51">
        <w:rPr>
          <w:sz w:val="22"/>
          <w:szCs w:val="22"/>
        </w:rPr>
        <w:t>their contacts</w:t>
      </w:r>
      <w:r w:rsidR="008E21AB" w:rsidRPr="6DBDFD51">
        <w:rPr>
          <w:sz w:val="22"/>
          <w:szCs w:val="22"/>
        </w:rPr>
        <w:t xml:space="preserve"> to COVID-19.</w:t>
      </w:r>
    </w:p>
    <w:p w14:paraId="1CB1615C" w14:textId="73B094AD" w:rsidR="00B13845" w:rsidRPr="006A7CDC" w:rsidRDefault="00B13845" w:rsidP="006A7CDC">
      <w:pPr>
        <w:jc w:val="both"/>
        <w:rPr>
          <w:bCs/>
          <w:sz w:val="10"/>
          <w:szCs w:val="10"/>
        </w:rPr>
      </w:pPr>
    </w:p>
    <w:p w14:paraId="497F9D31" w14:textId="77777777" w:rsidR="00E579F7" w:rsidRDefault="00E579F7" w:rsidP="00E579F7">
      <w:pPr>
        <w:jc w:val="both"/>
        <w:rPr>
          <w:bCs/>
          <w:sz w:val="22"/>
          <w:szCs w:val="22"/>
        </w:rPr>
      </w:pPr>
      <w:r w:rsidRPr="006A7CDC">
        <w:rPr>
          <w:b/>
          <w:sz w:val="22"/>
          <w:szCs w:val="22"/>
        </w:rPr>
        <w:t xml:space="preserve">There is limited real-time gender-disaggregated data </w:t>
      </w:r>
      <w:r w:rsidRPr="006A7CDC">
        <w:rPr>
          <w:bCs/>
          <w:sz w:val="22"/>
          <w:szCs w:val="22"/>
        </w:rPr>
        <w:t>on persons affected by COVID</w:t>
      </w:r>
      <w:r>
        <w:rPr>
          <w:bCs/>
          <w:sz w:val="22"/>
          <w:szCs w:val="22"/>
        </w:rPr>
        <w:t>-</w:t>
      </w:r>
      <w:r w:rsidRPr="006A7CDC">
        <w:rPr>
          <w:bCs/>
          <w:sz w:val="22"/>
          <w:szCs w:val="22"/>
        </w:rPr>
        <w:t>19, persons engaged in front-line support and services and people at higher risk due to their duties or form of employment. However, underlying political and socioeconomic fault lines in Libya are already having visible effects, and it is evident that COVID-19 will have different effect</w:t>
      </w:r>
      <w:r>
        <w:rPr>
          <w:bCs/>
          <w:sz w:val="22"/>
          <w:szCs w:val="22"/>
        </w:rPr>
        <w:t>s</w:t>
      </w:r>
      <w:r w:rsidRPr="006A7CDC">
        <w:rPr>
          <w:bCs/>
          <w:sz w:val="22"/>
          <w:szCs w:val="22"/>
        </w:rPr>
        <w:t xml:space="preserve"> on the vulnerable groups named above. </w:t>
      </w:r>
    </w:p>
    <w:p w14:paraId="5FE3D644" w14:textId="040B887C" w:rsidR="00E579F7" w:rsidRPr="005C34A0" w:rsidRDefault="00E579F7" w:rsidP="00E579F7">
      <w:pPr>
        <w:jc w:val="both"/>
        <w:rPr>
          <w:bCs/>
          <w:sz w:val="10"/>
          <w:szCs w:val="10"/>
        </w:rPr>
      </w:pPr>
    </w:p>
    <w:p w14:paraId="5BF0C822" w14:textId="6E6A803F" w:rsidR="00FF36A5" w:rsidRPr="006A7CDC" w:rsidRDefault="003008D9" w:rsidP="6DBDFD51">
      <w:pPr>
        <w:jc w:val="both"/>
        <w:rPr>
          <w:rFonts w:eastAsia="SimSun"/>
          <w:sz w:val="22"/>
          <w:szCs w:val="22"/>
          <w:lang w:eastAsia="zh-CN"/>
        </w:rPr>
      </w:pPr>
      <w:r w:rsidRPr="6DBDFD51">
        <w:rPr>
          <w:b/>
          <w:bCs/>
          <w:sz w:val="22"/>
          <w:szCs w:val="22"/>
        </w:rPr>
        <w:t xml:space="preserve">The impact of COVID-19 is </w:t>
      </w:r>
      <w:r w:rsidR="00164CD1" w:rsidRPr="6DBDFD51">
        <w:rPr>
          <w:b/>
          <w:bCs/>
          <w:sz w:val="22"/>
          <w:szCs w:val="22"/>
        </w:rPr>
        <w:t xml:space="preserve">amplified by </w:t>
      </w:r>
      <w:r w:rsidR="001D5F4C" w:rsidRPr="6DBDFD51">
        <w:rPr>
          <w:b/>
          <w:bCs/>
          <w:sz w:val="22"/>
          <w:szCs w:val="22"/>
        </w:rPr>
        <w:t xml:space="preserve">Libya’s </w:t>
      </w:r>
      <w:r w:rsidR="00164CD1" w:rsidRPr="6DBDFD51">
        <w:rPr>
          <w:b/>
          <w:bCs/>
          <w:sz w:val="22"/>
          <w:szCs w:val="22"/>
        </w:rPr>
        <w:t>economic vulnerability</w:t>
      </w:r>
      <w:r w:rsidRPr="6DBDFD51">
        <w:rPr>
          <w:sz w:val="22"/>
          <w:szCs w:val="22"/>
        </w:rPr>
        <w:t>.</w:t>
      </w:r>
      <w:r w:rsidR="00E16F08" w:rsidRPr="6DBDFD51">
        <w:rPr>
          <w:sz w:val="22"/>
          <w:szCs w:val="22"/>
        </w:rPr>
        <w:t xml:space="preserve"> </w:t>
      </w:r>
      <w:r w:rsidRPr="6DBDFD51">
        <w:rPr>
          <w:sz w:val="22"/>
          <w:szCs w:val="22"/>
        </w:rPr>
        <w:t>T</w:t>
      </w:r>
      <w:r w:rsidR="00674404" w:rsidRPr="6DBDFD51">
        <w:rPr>
          <w:sz w:val="22"/>
          <w:szCs w:val="22"/>
        </w:rPr>
        <w:t>he</w:t>
      </w:r>
      <w:r w:rsidR="0B171270" w:rsidRPr="6DBDFD51">
        <w:rPr>
          <w:sz w:val="22"/>
          <w:szCs w:val="22"/>
        </w:rPr>
        <w:t xml:space="preserve"> coronavirus pandemic, </w:t>
      </w:r>
      <w:r w:rsidR="32D35125" w:rsidRPr="6DBDFD51">
        <w:rPr>
          <w:sz w:val="22"/>
          <w:szCs w:val="22"/>
        </w:rPr>
        <w:t xml:space="preserve">on top of </w:t>
      </w:r>
      <w:r w:rsidR="0B171270" w:rsidRPr="6DBDFD51">
        <w:rPr>
          <w:sz w:val="22"/>
          <w:szCs w:val="22"/>
        </w:rPr>
        <w:t xml:space="preserve">the </w:t>
      </w:r>
      <w:r w:rsidR="00674404" w:rsidRPr="6DBDFD51">
        <w:rPr>
          <w:sz w:val="22"/>
          <w:szCs w:val="22"/>
        </w:rPr>
        <w:t xml:space="preserve">ongoing oil </w:t>
      </w:r>
      <w:r w:rsidR="00905357" w:rsidRPr="6DBDFD51">
        <w:rPr>
          <w:sz w:val="22"/>
          <w:szCs w:val="22"/>
        </w:rPr>
        <w:t>blockade is</w:t>
      </w:r>
      <w:r w:rsidR="00945B75" w:rsidRPr="6DBDFD51">
        <w:rPr>
          <w:sz w:val="22"/>
          <w:szCs w:val="22"/>
        </w:rPr>
        <w:t xml:space="preserve"> expected to</w:t>
      </w:r>
      <w:r w:rsidR="00674404" w:rsidRPr="6DBDFD51">
        <w:rPr>
          <w:sz w:val="22"/>
          <w:szCs w:val="22"/>
        </w:rPr>
        <w:t xml:space="preserve"> significantly </w:t>
      </w:r>
      <w:r w:rsidR="00E16F08" w:rsidRPr="6DBDFD51">
        <w:rPr>
          <w:sz w:val="22"/>
          <w:szCs w:val="22"/>
        </w:rPr>
        <w:t xml:space="preserve">further </w:t>
      </w:r>
      <w:r w:rsidR="00674404" w:rsidRPr="6DBDFD51">
        <w:rPr>
          <w:sz w:val="22"/>
          <w:szCs w:val="22"/>
        </w:rPr>
        <w:t>undermine fiscal revenue and economic growth</w:t>
      </w:r>
      <w:r w:rsidRPr="6DBDFD51">
        <w:rPr>
          <w:sz w:val="22"/>
          <w:szCs w:val="22"/>
        </w:rPr>
        <w:t xml:space="preserve">; </w:t>
      </w:r>
      <w:r w:rsidR="32E0DCEB" w:rsidRPr="6DBDFD51">
        <w:rPr>
          <w:sz w:val="22"/>
          <w:szCs w:val="22"/>
        </w:rPr>
        <w:t xml:space="preserve">with </w:t>
      </w:r>
      <w:r w:rsidRPr="6DBDFD51">
        <w:rPr>
          <w:sz w:val="22"/>
          <w:szCs w:val="22"/>
        </w:rPr>
        <w:t xml:space="preserve">a </w:t>
      </w:r>
      <w:r w:rsidRPr="6DBDFD51">
        <w:rPr>
          <w:sz w:val="22"/>
          <w:szCs w:val="22"/>
        </w:rPr>
        <w:lastRenderedPageBreak/>
        <w:t xml:space="preserve">contraction of real </w:t>
      </w:r>
      <w:r w:rsidR="00674404" w:rsidRPr="6DBDFD51">
        <w:rPr>
          <w:sz w:val="22"/>
          <w:szCs w:val="22"/>
        </w:rPr>
        <w:t xml:space="preserve">GDP by 12.7% </w:t>
      </w:r>
      <w:r w:rsidRPr="6DBDFD51">
        <w:rPr>
          <w:sz w:val="22"/>
          <w:szCs w:val="22"/>
        </w:rPr>
        <w:t>expected in 2020</w:t>
      </w:r>
      <w:r w:rsidR="00EF5F57" w:rsidRPr="6DBDFD51">
        <w:rPr>
          <w:rStyle w:val="FootnoteReference"/>
          <w:sz w:val="22"/>
          <w:szCs w:val="22"/>
        </w:rPr>
        <w:footnoteReference w:id="7"/>
      </w:r>
      <w:r w:rsidR="00945B75" w:rsidRPr="6DBDFD51">
        <w:rPr>
          <w:sz w:val="22"/>
          <w:szCs w:val="22"/>
        </w:rPr>
        <w:t xml:space="preserve">; </w:t>
      </w:r>
      <w:r w:rsidR="0079633A" w:rsidRPr="6DBDFD51">
        <w:rPr>
          <w:sz w:val="22"/>
          <w:szCs w:val="22"/>
        </w:rPr>
        <w:t>unemployment is at 17.</w:t>
      </w:r>
      <w:r w:rsidR="00EF5F57" w:rsidRPr="6DBDFD51">
        <w:rPr>
          <w:sz w:val="22"/>
          <w:szCs w:val="22"/>
        </w:rPr>
        <w:t>3</w:t>
      </w:r>
      <w:r w:rsidR="0079633A" w:rsidRPr="6DBDFD51">
        <w:rPr>
          <w:sz w:val="22"/>
          <w:szCs w:val="22"/>
        </w:rPr>
        <w:t>%</w:t>
      </w:r>
      <w:r w:rsidR="00EF5F57" w:rsidRPr="6DBDFD51">
        <w:rPr>
          <w:rStyle w:val="FootnoteReference"/>
          <w:sz w:val="22"/>
          <w:szCs w:val="22"/>
        </w:rPr>
        <w:footnoteReference w:id="8"/>
      </w:r>
      <w:r w:rsidR="0079633A" w:rsidRPr="6DBDFD51">
        <w:rPr>
          <w:sz w:val="22"/>
          <w:szCs w:val="22"/>
        </w:rPr>
        <w:t xml:space="preserve">. </w:t>
      </w:r>
      <w:r w:rsidR="00164CD1" w:rsidRPr="6DBDFD51">
        <w:rPr>
          <w:sz w:val="22"/>
          <w:szCs w:val="22"/>
        </w:rPr>
        <w:t xml:space="preserve"> </w:t>
      </w:r>
      <w:r w:rsidR="00D63424" w:rsidRPr="6DBDFD51">
        <w:rPr>
          <w:sz w:val="22"/>
          <w:szCs w:val="22"/>
        </w:rPr>
        <w:t>T</w:t>
      </w:r>
      <w:r w:rsidR="00D63424" w:rsidRPr="6DBDFD51">
        <w:rPr>
          <w:rFonts w:eastAsia="SimSun"/>
          <w:sz w:val="22"/>
          <w:szCs w:val="22"/>
          <w:lang w:eastAsia="zh-CN"/>
        </w:rPr>
        <w:t>he societal and economic disruption</w:t>
      </w:r>
      <w:r w:rsidR="00D63424" w:rsidRPr="6DBDFD51">
        <w:rPr>
          <w:sz w:val="22"/>
          <w:szCs w:val="22"/>
        </w:rPr>
        <w:t xml:space="preserve"> of COVID-19</w:t>
      </w:r>
      <w:r w:rsidR="00D63424" w:rsidRPr="6DBDFD51">
        <w:rPr>
          <w:rFonts w:eastAsia="SimSun"/>
          <w:sz w:val="22"/>
          <w:szCs w:val="22"/>
          <w:lang w:eastAsia="zh-CN"/>
        </w:rPr>
        <w:t xml:space="preserve"> has already started showing negative effects, including the rapid increase of inflation </w:t>
      </w:r>
      <w:r w:rsidR="00D63424" w:rsidRPr="6DBDFD51">
        <w:rPr>
          <w:sz w:val="22"/>
          <w:szCs w:val="22"/>
        </w:rPr>
        <w:t xml:space="preserve">(set to </w:t>
      </w:r>
      <w:r w:rsidR="00D63424" w:rsidRPr="6DBDFD51">
        <w:rPr>
          <w:rFonts w:eastAsia="SimSun"/>
          <w:sz w:val="22"/>
          <w:szCs w:val="22"/>
          <w:lang w:eastAsia="zh-CN"/>
        </w:rPr>
        <w:t>reach 12.2%</w:t>
      </w:r>
      <w:r w:rsidR="00D63424" w:rsidRPr="6DBDFD51">
        <w:rPr>
          <w:sz w:val="22"/>
          <w:szCs w:val="22"/>
        </w:rPr>
        <w:t xml:space="preserve"> in 2020)</w:t>
      </w:r>
      <w:r w:rsidR="00B53534" w:rsidRPr="6DBDFD51">
        <w:rPr>
          <w:sz w:val="22"/>
          <w:szCs w:val="22"/>
        </w:rPr>
        <w:t xml:space="preserve"> and </w:t>
      </w:r>
      <w:r w:rsidR="00D63424" w:rsidRPr="6DBDFD51">
        <w:rPr>
          <w:rFonts w:eastAsia="SimSun"/>
          <w:sz w:val="22"/>
          <w:szCs w:val="22"/>
          <w:lang w:eastAsia="zh-CN"/>
        </w:rPr>
        <w:t xml:space="preserve">unavailability of some food items. </w:t>
      </w:r>
      <w:r w:rsidR="00B53534" w:rsidRPr="6DBDFD51">
        <w:rPr>
          <w:sz w:val="22"/>
          <w:szCs w:val="22"/>
        </w:rPr>
        <w:t>With people losing their income and unable to access food or pay their rent, continued food assistance will be crucial as needs are already on the rise. A</w:t>
      </w:r>
      <w:r w:rsidR="00B53534" w:rsidRPr="6DBDFD51" w:rsidDel="00DE0024">
        <w:rPr>
          <w:sz w:val="22"/>
          <w:szCs w:val="22"/>
        </w:rPr>
        <w:t xml:space="preserve"> rise in rent, food prices and basic commodities has made it increasingly difficult for people working in the informal sector to provide for themselves or find work to secure their daily needs</w:t>
      </w:r>
      <w:r w:rsidR="00FF36A5" w:rsidRPr="6DBDFD51">
        <w:rPr>
          <w:sz w:val="22"/>
          <w:szCs w:val="22"/>
        </w:rPr>
        <w:t>.</w:t>
      </w:r>
      <w:r w:rsidR="00B13845" w:rsidRPr="6DBDFD51">
        <w:rPr>
          <w:sz w:val="22"/>
          <w:szCs w:val="22"/>
        </w:rPr>
        <w:t xml:space="preserve"> </w:t>
      </w:r>
      <w:r w:rsidR="00FF36A5" w:rsidRPr="6DBDFD51">
        <w:rPr>
          <w:sz w:val="22"/>
          <w:szCs w:val="22"/>
        </w:rPr>
        <w:t xml:space="preserve"> </w:t>
      </w:r>
      <w:r w:rsidR="00B53534" w:rsidRPr="6DBDFD51">
        <w:rPr>
          <w:sz w:val="22"/>
          <w:szCs w:val="22"/>
        </w:rPr>
        <w:t xml:space="preserve">As </w:t>
      </w:r>
      <w:r w:rsidR="00A145B6" w:rsidRPr="6DBDFD51">
        <w:rPr>
          <w:sz w:val="22"/>
          <w:szCs w:val="22"/>
        </w:rPr>
        <w:t xml:space="preserve">mentioned </w:t>
      </w:r>
      <w:r w:rsidR="00B53534" w:rsidRPr="6DBDFD51">
        <w:rPr>
          <w:sz w:val="22"/>
          <w:szCs w:val="22"/>
        </w:rPr>
        <w:t>above, e</w:t>
      </w:r>
      <w:r w:rsidR="0079633A" w:rsidRPr="6DBDFD51">
        <w:rPr>
          <w:sz w:val="22"/>
          <w:szCs w:val="22"/>
        </w:rPr>
        <w:t xml:space="preserve">mergency measures, including movement restrictions, are already taking a </w:t>
      </w:r>
      <w:r w:rsidR="00B53534" w:rsidRPr="6DBDFD51">
        <w:rPr>
          <w:sz w:val="22"/>
          <w:szCs w:val="22"/>
        </w:rPr>
        <w:t>toll on</w:t>
      </w:r>
      <w:r w:rsidR="0079633A" w:rsidRPr="6DBDFD51">
        <w:rPr>
          <w:sz w:val="22"/>
          <w:szCs w:val="22"/>
        </w:rPr>
        <w:t xml:space="preserve"> </w:t>
      </w:r>
      <w:r w:rsidR="00B53534" w:rsidRPr="6DBDFD51">
        <w:rPr>
          <w:sz w:val="22"/>
          <w:szCs w:val="22"/>
        </w:rPr>
        <w:t>migrant/refugee/IDP</w:t>
      </w:r>
      <w:r w:rsidR="0079633A" w:rsidRPr="6DBDFD51">
        <w:rPr>
          <w:sz w:val="22"/>
          <w:szCs w:val="22"/>
        </w:rPr>
        <w:t xml:space="preserve"> livelihoods</w:t>
      </w:r>
      <w:r w:rsidR="00B53534" w:rsidRPr="6DBDFD51">
        <w:rPr>
          <w:sz w:val="22"/>
          <w:szCs w:val="22"/>
        </w:rPr>
        <w:t>,</w:t>
      </w:r>
      <w:r w:rsidR="0079633A" w:rsidRPr="6DBDFD51">
        <w:rPr>
          <w:sz w:val="22"/>
          <w:szCs w:val="22"/>
        </w:rPr>
        <w:t xml:space="preserve"> their ability to find safe shelter and their access to basic services. </w:t>
      </w:r>
      <w:r w:rsidR="009C2971" w:rsidRPr="6DBDFD51">
        <w:rPr>
          <w:rFonts w:eastAsia="SimSun"/>
          <w:sz w:val="22"/>
          <w:szCs w:val="22"/>
          <w:lang w:eastAsia="zh-CN"/>
        </w:rPr>
        <w:t xml:space="preserve">The GNA plans to issue more economic measures to support small businesses and assist those most harmed by the national curfew, however, no substantial progress </w:t>
      </w:r>
      <w:r w:rsidR="00FF36A5" w:rsidRPr="6DBDFD51">
        <w:rPr>
          <w:rFonts w:eastAsia="SimSun"/>
          <w:sz w:val="22"/>
          <w:szCs w:val="22"/>
          <w:lang w:eastAsia="zh-CN"/>
        </w:rPr>
        <w:t xml:space="preserve">can be made unless </w:t>
      </w:r>
      <w:r w:rsidR="009C2971" w:rsidRPr="6DBDFD51">
        <w:rPr>
          <w:rFonts w:eastAsia="SimSun"/>
          <w:sz w:val="22"/>
          <w:szCs w:val="22"/>
          <w:lang w:eastAsia="zh-CN"/>
        </w:rPr>
        <w:t>internal disagreements with the Central Bank of Libya</w:t>
      </w:r>
      <w:r w:rsidR="00577D01" w:rsidRPr="6DBDFD51">
        <w:rPr>
          <w:rFonts w:eastAsia="SimSun"/>
          <w:sz w:val="22"/>
          <w:szCs w:val="22"/>
          <w:lang w:eastAsia="zh-CN"/>
        </w:rPr>
        <w:t xml:space="preserve"> (CBL)</w:t>
      </w:r>
      <w:r w:rsidR="009C2971" w:rsidRPr="6DBDFD51">
        <w:rPr>
          <w:rFonts w:eastAsia="SimSun"/>
          <w:sz w:val="22"/>
          <w:szCs w:val="22"/>
          <w:lang w:eastAsia="zh-CN"/>
        </w:rPr>
        <w:t xml:space="preserve"> are resolved.</w:t>
      </w:r>
      <w:r w:rsidR="00FF36A5" w:rsidRPr="6DBDFD51">
        <w:rPr>
          <w:rFonts w:eastAsia="SimSun"/>
          <w:sz w:val="22"/>
          <w:szCs w:val="22"/>
          <w:lang w:eastAsia="zh-CN"/>
        </w:rPr>
        <w:t xml:space="preserve"> </w:t>
      </w:r>
      <w:r w:rsidR="00577D01" w:rsidRPr="6DBDFD51">
        <w:rPr>
          <w:rFonts w:eastAsia="SimSun"/>
          <w:sz w:val="22"/>
          <w:szCs w:val="22"/>
          <w:lang w:eastAsia="zh-CN"/>
        </w:rPr>
        <w:t xml:space="preserve">The </w:t>
      </w:r>
      <w:r w:rsidR="00FF36A5" w:rsidRPr="6DBDFD51">
        <w:rPr>
          <w:rFonts w:eastAsia="SimSun"/>
          <w:sz w:val="22"/>
          <w:szCs w:val="22"/>
          <w:lang w:eastAsia="zh-CN"/>
        </w:rPr>
        <w:t>Prime Minister has called for a meeting of the Board of Directors of the CBL</w:t>
      </w:r>
      <w:r w:rsidR="00577D01" w:rsidRPr="6DBDFD51">
        <w:rPr>
          <w:rFonts w:eastAsia="SimSun"/>
          <w:sz w:val="22"/>
          <w:szCs w:val="22"/>
          <w:lang w:eastAsia="zh-CN"/>
        </w:rPr>
        <w:t xml:space="preserve"> </w:t>
      </w:r>
      <w:r w:rsidR="00FF36A5" w:rsidRPr="6DBDFD51">
        <w:rPr>
          <w:rFonts w:eastAsia="SimSun"/>
          <w:sz w:val="22"/>
          <w:szCs w:val="22"/>
          <w:lang w:eastAsia="zh-CN"/>
        </w:rPr>
        <w:t xml:space="preserve">to discuss Libya’s monetary policy </w:t>
      </w:r>
      <w:r w:rsidR="00577D01" w:rsidRPr="6DBDFD51">
        <w:rPr>
          <w:rFonts w:eastAsia="SimSun"/>
          <w:sz w:val="22"/>
          <w:szCs w:val="22"/>
          <w:lang w:eastAsia="zh-CN"/>
        </w:rPr>
        <w:t>and to</w:t>
      </w:r>
      <w:r w:rsidR="00FF36A5" w:rsidRPr="6DBDFD51">
        <w:rPr>
          <w:rFonts w:eastAsia="SimSun"/>
          <w:sz w:val="22"/>
          <w:szCs w:val="22"/>
          <w:lang w:eastAsia="zh-CN"/>
        </w:rPr>
        <w:t xml:space="preserve"> unblock the earmarked funds </w:t>
      </w:r>
      <w:r w:rsidR="00203E3A" w:rsidRPr="6DBDFD51">
        <w:rPr>
          <w:rFonts w:eastAsia="SimSun"/>
          <w:sz w:val="22"/>
          <w:szCs w:val="22"/>
          <w:lang w:eastAsia="zh-CN"/>
        </w:rPr>
        <w:t xml:space="preserve">in response </w:t>
      </w:r>
      <w:r w:rsidR="00FF36A5" w:rsidRPr="6DBDFD51">
        <w:rPr>
          <w:rFonts w:eastAsia="SimSun"/>
          <w:sz w:val="22"/>
          <w:szCs w:val="22"/>
          <w:lang w:eastAsia="zh-CN"/>
        </w:rPr>
        <w:t xml:space="preserve">to the pandemic and </w:t>
      </w:r>
      <w:r w:rsidR="00203E3A" w:rsidRPr="6DBDFD51">
        <w:rPr>
          <w:rFonts w:eastAsia="SimSun"/>
          <w:sz w:val="22"/>
          <w:szCs w:val="22"/>
          <w:lang w:eastAsia="zh-CN"/>
        </w:rPr>
        <w:t>to the contraction of the</w:t>
      </w:r>
      <w:r w:rsidR="00FF36A5" w:rsidRPr="6DBDFD51">
        <w:rPr>
          <w:rFonts w:eastAsia="SimSun"/>
          <w:sz w:val="22"/>
          <w:szCs w:val="22"/>
          <w:lang w:eastAsia="zh-CN"/>
        </w:rPr>
        <w:t xml:space="preserve"> economy.</w:t>
      </w:r>
    </w:p>
    <w:bookmarkEnd w:id="5"/>
    <w:p w14:paraId="3F3AA5A8" w14:textId="77777777" w:rsidR="00577D01" w:rsidRPr="006A7CDC" w:rsidRDefault="00577D01" w:rsidP="006A7CDC">
      <w:pPr>
        <w:autoSpaceDE w:val="0"/>
        <w:autoSpaceDN w:val="0"/>
        <w:adjustRightInd w:val="0"/>
        <w:jc w:val="both"/>
        <w:rPr>
          <w:rFonts w:eastAsia="SimSun"/>
          <w:bCs/>
          <w:sz w:val="10"/>
          <w:szCs w:val="10"/>
          <w:lang w:eastAsia="zh-CN"/>
        </w:rPr>
      </w:pPr>
    </w:p>
    <w:p w14:paraId="35C77595" w14:textId="31C17E54" w:rsidR="00712BBB" w:rsidRPr="006A7CDC" w:rsidRDefault="00F4632F" w:rsidP="00845C2B">
      <w:pPr>
        <w:pStyle w:val="Default"/>
        <w:spacing w:before="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The coordination mechanism to respond to COVID-19 in Libya by the UN is led by WHO joined by different agencies (both humanitarian</w:t>
      </w:r>
      <w:r w:rsidR="00845C2B">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and development)</w:t>
      </w:r>
      <w:r w:rsidR="00845C2B">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00712BBB" w:rsidRPr="6DBDFD51">
        <w:rPr>
          <w:rFonts w:ascii="Times New Roman" w:hAnsi="Times New Roman" w:cs="Times New Roman"/>
          <w:b/>
          <w:bCs/>
          <w:color w:val="auto"/>
          <w:sz w:val="22"/>
          <w:szCs w:val="22"/>
        </w:rPr>
        <w:t xml:space="preserve">As part of the UN response, and </w:t>
      </w:r>
      <w:r w:rsidR="00394C91">
        <w:rPr>
          <w:rFonts w:ascii="Times New Roman" w:hAnsi="Times New Roman" w:cs="Times New Roman"/>
          <w:b/>
          <w:bCs/>
          <w:color w:val="auto"/>
          <w:sz w:val="22"/>
          <w:szCs w:val="22"/>
        </w:rPr>
        <w:t xml:space="preserve">with the full endorsement and support of the </w:t>
      </w:r>
      <w:r w:rsidR="00712BBB" w:rsidRPr="6DBDFD51">
        <w:rPr>
          <w:rFonts w:ascii="Times New Roman" w:hAnsi="Times New Roman" w:cs="Times New Roman"/>
          <w:b/>
          <w:bCs/>
          <w:color w:val="auto"/>
          <w:sz w:val="22"/>
          <w:szCs w:val="22"/>
        </w:rPr>
        <w:t>RC/HC, UN Country Team</w:t>
      </w:r>
      <w:r w:rsidR="00F77703" w:rsidRPr="6DBDFD51">
        <w:rPr>
          <w:rFonts w:ascii="Times New Roman" w:hAnsi="Times New Roman" w:cs="Times New Roman"/>
          <w:b/>
          <w:bCs/>
          <w:color w:val="auto"/>
          <w:sz w:val="22"/>
          <w:szCs w:val="22"/>
        </w:rPr>
        <w:t xml:space="preserve"> and the Libyan Government</w:t>
      </w:r>
      <w:r w:rsidR="00712BBB" w:rsidRPr="6DBDFD51">
        <w:rPr>
          <w:rFonts w:ascii="Times New Roman" w:hAnsi="Times New Roman" w:cs="Times New Roman"/>
          <w:b/>
          <w:bCs/>
          <w:color w:val="auto"/>
          <w:sz w:val="22"/>
          <w:szCs w:val="22"/>
        </w:rPr>
        <w:t xml:space="preserve"> (NCDC, Ministry of Health), UND</w:t>
      </w:r>
      <w:r w:rsidR="00FE5062">
        <w:rPr>
          <w:rFonts w:ascii="Times New Roman" w:hAnsi="Times New Roman" w:cs="Times New Roman"/>
          <w:b/>
          <w:bCs/>
          <w:color w:val="auto"/>
          <w:sz w:val="22"/>
          <w:szCs w:val="22"/>
        </w:rPr>
        <w:t>P, in consultation with the UNCT,</w:t>
      </w:r>
      <w:r w:rsidR="00712BBB" w:rsidRPr="6DBDFD51">
        <w:rPr>
          <w:rFonts w:ascii="Times New Roman" w:hAnsi="Times New Roman" w:cs="Times New Roman"/>
          <w:b/>
          <w:bCs/>
          <w:color w:val="auto"/>
          <w:sz w:val="22"/>
          <w:szCs w:val="22"/>
        </w:rPr>
        <w:t xml:space="preserve"> </w:t>
      </w:r>
      <w:r w:rsidR="00BC01FE" w:rsidRPr="6DBDFD51">
        <w:rPr>
          <w:rFonts w:ascii="Times New Roman" w:hAnsi="Times New Roman" w:cs="Times New Roman"/>
          <w:b/>
          <w:bCs/>
          <w:color w:val="auto"/>
          <w:sz w:val="22"/>
          <w:szCs w:val="22"/>
        </w:rPr>
        <w:t xml:space="preserve">has </w:t>
      </w:r>
      <w:r w:rsidR="00712BBB" w:rsidRPr="6DBDFD51">
        <w:rPr>
          <w:rFonts w:ascii="Times New Roman" w:hAnsi="Times New Roman" w:cs="Times New Roman"/>
          <w:b/>
          <w:bCs/>
          <w:color w:val="auto"/>
          <w:sz w:val="22"/>
          <w:szCs w:val="22"/>
        </w:rPr>
        <w:t xml:space="preserve">identified </w:t>
      </w:r>
      <w:r w:rsidR="00BC01FE" w:rsidRPr="6DBDFD51">
        <w:rPr>
          <w:rFonts w:ascii="Times New Roman" w:hAnsi="Times New Roman" w:cs="Times New Roman"/>
          <w:b/>
          <w:bCs/>
          <w:color w:val="auto"/>
          <w:sz w:val="22"/>
          <w:szCs w:val="22"/>
        </w:rPr>
        <w:t xml:space="preserve">areas of </w:t>
      </w:r>
      <w:r w:rsidR="00712BBB" w:rsidRPr="6DBDFD51">
        <w:rPr>
          <w:rFonts w:ascii="Times New Roman" w:hAnsi="Times New Roman" w:cs="Times New Roman"/>
          <w:b/>
          <w:bCs/>
          <w:color w:val="auto"/>
          <w:sz w:val="22"/>
          <w:szCs w:val="22"/>
        </w:rPr>
        <w:t>critical gaps/needs</w:t>
      </w:r>
      <w:r w:rsidR="00E23676" w:rsidRPr="6DBDFD51">
        <w:rPr>
          <w:rFonts w:ascii="Times New Roman" w:hAnsi="Times New Roman" w:cs="Times New Roman"/>
          <w:b/>
          <w:bCs/>
          <w:color w:val="auto"/>
          <w:sz w:val="22"/>
          <w:szCs w:val="22"/>
        </w:rPr>
        <w:t xml:space="preserve"> </w:t>
      </w:r>
      <w:r w:rsidR="00BC01FE" w:rsidRPr="6DBDFD51">
        <w:rPr>
          <w:rFonts w:ascii="Times New Roman" w:hAnsi="Times New Roman" w:cs="Times New Roman"/>
          <w:b/>
          <w:bCs/>
          <w:color w:val="auto"/>
          <w:sz w:val="22"/>
          <w:szCs w:val="22"/>
        </w:rPr>
        <w:t>where</w:t>
      </w:r>
      <w:r w:rsidR="00541D58" w:rsidRPr="6DBDFD51">
        <w:rPr>
          <w:rFonts w:ascii="Times New Roman" w:hAnsi="Times New Roman" w:cs="Times New Roman"/>
          <w:b/>
          <w:bCs/>
          <w:color w:val="auto"/>
          <w:sz w:val="22"/>
          <w:szCs w:val="22"/>
        </w:rPr>
        <w:t xml:space="preserve"> it </w:t>
      </w:r>
      <w:r w:rsidR="1C7413A5" w:rsidRPr="6DBDFD51">
        <w:rPr>
          <w:rFonts w:ascii="Times New Roman" w:hAnsi="Times New Roman" w:cs="Times New Roman"/>
          <w:b/>
          <w:bCs/>
          <w:color w:val="auto"/>
          <w:sz w:val="22"/>
          <w:szCs w:val="22"/>
        </w:rPr>
        <w:t xml:space="preserve">can </w:t>
      </w:r>
      <w:r w:rsidR="00541D58" w:rsidRPr="6DBDFD51">
        <w:rPr>
          <w:rFonts w:ascii="Times New Roman" w:hAnsi="Times New Roman" w:cs="Times New Roman"/>
          <w:b/>
          <w:bCs/>
          <w:color w:val="auto"/>
          <w:sz w:val="22"/>
          <w:szCs w:val="22"/>
        </w:rPr>
        <w:t>add value</w:t>
      </w:r>
      <w:r w:rsidR="00FE5062">
        <w:rPr>
          <w:rFonts w:ascii="Times New Roman" w:hAnsi="Times New Roman" w:cs="Times New Roman"/>
          <w:b/>
          <w:bCs/>
          <w:color w:val="auto"/>
          <w:sz w:val="22"/>
          <w:szCs w:val="22"/>
        </w:rPr>
        <w:t>:</w:t>
      </w:r>
    </w:p>
    <w:p w14:paraId="1ADB9B5E" w14:textId="06218CCD" w:rsidR="00CD7B22" w:rsidRPr="00905357" w:rsidRDefault="00712BBB" w:rsidP="00602DEA">
      <w:pPr>
        <w:numPr>
          <w:ilvl w:val="0"/>
          <w:numId w:val="26"/>
        </w:numPr>
        <w:spacing w:before="80"/>
        <w:jc w:val="both"/>
        <w:rPr>
          <w:sz w:val="22"/>
          <w:szCs w:val="22"/>
        </w:rPr>
      </w:pPr>
      <w:r w:rsidRPr="6FB26674">
        <w:rPr>
          <w:b/>
          <w:bCs/>
          <w:sz w:val="22"/>
          <w:szCs w:val="22"/>
        </w:rPr>
        <w:t>Strengthening health systems</w:t>
      </w:r>
      <w:r w:rsidRPr="6FB26674">
        <w:rPr>
          <w:sz w:val="22"/>
          <w:szCs w:val="22"/>
          <w:lang w:eastAsia="zh-CN"/>
        </w:rPr>
        <w:t xml:space="preserve">: </w:t>
      </w:r>
      <w:r w:rsidR="00E56FCA" w:rsidRPr="6FB26674">
        <w:rPr>
          <w:sz w:val="22"/>
          <w:szCs w:val="22"/>
        </w:rPr>
        <w:t xml:space="preserve">Leveraging </w:t>
      </w:r>
      <w:r w:rsidR="00A01FBB" w:rsidRPr="6FB26674">
        <w:rPr>
          <w:sz w:val="22"/>
          <w:szCs w:val="22"/>
        </w:rPr>
        <w:t xml:space="preserve">its </w:t>
      </w:r>
      <w:r w:rsidR="00A441C5" w:rsidRPr="6FB26674">
        <w:rPr>
          <w:sz w:val="22"/>
          <w:szCs w:val="22"/>
        </w:rPr>
        <w:t>stabilization</w:t>
      </w:r>
      <w:r w:rsidR="00E56FCA" w:rsidRPr="6FB26674">
        <w:rPr>
          <w:sz w:val="22"/>
          <w:szCs w:val="22"/>
        </w:rPr>
        <w:t xml:space="preserve"> and</w:t>
      </w:r>
      <w:r w:rsidR="00A441C5" w:rsidRPr="6FB26674">
        <w:rPr>
          <w:sz w:val="22"/>
          <w:szCs w:val="22"/>
        </w:rPr>
        <w:t xml:space="preserve"> recovery</w:t>
      </w:r>
      <w:r w:rsidR="00E56FCA" w:rsidRPr="6FB26674">
        <w:rPr>
          <w:sz w:val="22"/>
          <w:szCs w:val="22"/>
        </w:rPr>
        <w:t xml:space="preserve"> programmes</w:t>
      </w:r>
      <w:r w:rsidR="00A441C5" w:rsidRPr="6FB26674">
        <w:rPr>
          <w:sz w:val="22"/>
          <w:szCs w:val="22"/>
        </w:rPr>
        <w:t xml:space="preserve">, UNDP </w:t>
      </w:r>
      <w:r w:rsidR="00F50BBC" w:rsidRPr="6FB26674">
        <w:rPr>
          <w:sz w:val="22"/>
          <w:szCs w:val="22"/>
        </w:rPr>
        <w:t xml:space="preserve">is building on significant </w:t>
      </w:r>
      <w:r w:rsidR="00E56FCA" w:rsidRPr="6FB26674">
        <w:rPr>
          <w:sz w:val="22"/>
          <w:szCs w:val="22"/>
        </w:rPr>
        <w:t>experience</w:t>
      </w:r>
      <w:r w:rsidR="00A01FBB" w:rsidRPr="6FB26674">
        <w:rPr>
          <w:sz w:val="22"/>
          <w:szCs w:val="22"/>
        </w:rPr>
        <w:t xml:space="preserve"> in </w:t>
      </w:r>
      <w:r w:rsidR="00F50BBC" w:rsidRPr="6FB26674">
        <w:rPr>
          <w:sz w:val="22"/>
          <w:szCs w:val="22"/>
        </w:rPr>
        <w:t xml:space="preserve">supporting the </w:t>
      </w:r>
      <w:r w:rsidR="00A01FBB" w:rsidRPr="6FB26674">
        <w:rPr>
          <w:sz w:val="22"/>
          <w:szCs w:val="22"/>
        </w:rPr>
        <w:t>upgrading of health infrastruct</w:t>
      </w:r>
      <w:r w:rsidR="00F50BBC" w:rsidRPr="6FB26674">
        <w:rPr>
          <w:sz w:val="22"/>
          <w:szCs w:val="22"/>
        </w:rPr>
        <w:t xml:space="preserve">ure and </w:t>
      </w:r>
      <w:r w:rsidR="00A441C5" w:rsidRPr="6FB26674">
        <w:rPr>
          <w:sz w:val="22"/>
          <w:szCs w:val="22"/>
        </w:rPr>
        <w:t xml:space="preserve">waste management </w:t>
      </w:r>
      <w:r w:rsidR="00E56FCA" w:rsidRPr="6FB26674">
        <w:rPr>
          <w:sz w:val="22"/>
          <w:szCs w:val="22"/>
        </w:rPr>
        <w:t xml:space="preserve">in conflict affected </w:t>
      </w:r>
      <w:r w:rsidR="00F50BBC" w:rsidRPr="6FB26674">
        <w:rPr>
          <w:sz w:val="22"/>
          <w:szCs w:val="22"/>
        </w:rPr>
        <w:t>areas</w:t>
      </w:r>
      <w:r w:rsidR="00F040B1" w:rsidRPr="6FB26674">
        <w:rPr>
          <w:sz w:val="22"/>
          <w:szCs w:val="22"/>
        </w:rPr>
        <w:t xml:space="preserve">. </w:t>
      </w:r>
      <w:r w:rsidR="006D5BE6" w:rsidRPr="6FB26674">
        <w:rPr>
          <w:sz w:val="22"/>
          <w:szCs w:val="22"/>
        </w:rPr>
        <w:t xml:space="preserve">As municipalities are at the frontline of service delivery, governance and security in Libya, UNDP will </w:t>
      </w:r>
      <w:r w:rsidR="008058B6" w:rsidRPr="6FB26674">
        <w:rPr>
          <w:sz w:val="22"/>
          <w:szCs w:val="22"/>
        </w:rPr>
        <w:t>target support</w:t>
      </w:r>
      <w:r w:rsidR="004E530B" w:rsidRPr="6FB26674">
        <w:rPr>
          <w:sz w:val="22"/>
          <w:szCs w:val="22"/>
        </w:rPr>
        <w:t xml:space="preserve"> to areas where there is limited capacity and services, especially rural/</w:t>
      </w:r>
      <w:r w:rsidR="00B74CCA" w:rsidRPr="6FB26674">
        <w:rPr>
          <w:sz w:val="22"/>
          <w:szCs w:val="22"/>
        </w:rPr>
        <w:t>remote</w:t>
      </w:r>
      <w:r w:rsidR="004E530B" w:rsidRPr="6FB26674">
        <w:rPr>
          <w:sz w:val="22"/>
          <w:szCs w:val="22"/>
        </w:rPr>
        <w:t xml:space="preserve"> areas </w:t>
      </w:r>
      <w:r w:rsidR="000C31AB" w:rsidRPr="6FB26674">
        <w:rPr>
          <w:sz w:val="22"/>
          <w:szCs w:val="22"/>
        </w:rPr>
        <w:t>where</w:t>
      </w:r>
      <w:r w:rsidR="004E530B" w:rsidRPr="6FB26674">
        <w:rPr>
          <w:sz w:val="22"/>
          <w:szCs w:val="22"/>
        </w:rPr>
        <w:t xml:space="preserve"> </w:t>
      </w:r>
      <w:r w:rsidR="000C31AB" w:rsidRPr="6FB26674">
        <w:rPr>
          <w:sz w:val="22"/>
          <w:szCs w:val="22"/>
        </w:rPr>
        <w:t xml:space="preserve">vulnerable groups like </w:t>
      </w:r>
      <w:r w:rsidR="004E530B" w:rsidRPr="6FB26674">
        <w:rPr>
          <w:sz w:val="22"/>
          <w:szCs w:val="22"/>
        </w:rPr>
        <w:t>IDPs/migrants</w:t>
      </w:r>
      <w:r w:rsidR="00665C75" w:rsidRPr="6FB26674">
        <w:rPr>
          <w:sz w:val="22"/>
          <w:szCs w:val="22"/>
        </w:rPr>
        <w:t xml:space="preserve"> and</w:t>
      </w:r>
      <w:r w:rsidR="000C31AB" w:rsidRPr="6FB26674">
        <w:rPr>
          <w:sz w:val="22"/>
          <w:szCs w:val="22"/>
        </w:rPr>
        <w:t xml:space="preserve"> women</w:t>
      </w:r>
      <w:r w:rsidR="00B675BE" w:rsidRPr="6FB26674">
        <w:rPr>
          <w:sz w:val="22"/>
          <w:szCs w:val="22"/>
        </w:rPr>
        <w:t xml:space="preserve"> cannot count on </w:t>
      </w:r>
      <w:r w:rsidR="00665C75" w:rsidRPr="6FB26674">
        <w:rPr>
          <w:sz w:val="22"/>
          <w:szCs w:val="22"/>
        </w:rPr>
        <w:t>access to vital services and social suppor</w:t>
      </w:r>
      <w:r w:rsidR="00AC22DD" w:rsidRPr="6FB26674">
        <w:rPr>
          <w:sz w:val="22"/>
          <w:szCs w:val="22"/>
        </w:rPr>
        <w:t>t</w:t>
      </w:r>
      <w:r w:rsidR="004E530B" w:rsidRPr="6FB26674">
        <w:rPr>
          <w:sz w:val="22"/>
          <w:szCs w:val="22"/>
        </w:rPr>
        <w:t>.  Support will include provision of mobile/prefabricated health clinics, mobile/prefabricated isolation rooms, rehabilitation of hospitals, provision of ambulances, garbage trucks, water pumps, PPE</w:t>
      </w:r>
      <w:r w:rsidR="00A75EF6" w:rsidRPr="6FB26674">
        <w:rPr>
          <w:sz w:val="22"/>
          <w:szCs w:val="22"/>
        </w:rPr>
        <w:t xml:space="preserve"> production</w:t>
      </w:r>
      <w:r w:rsidR="004E530B" w:rsidRPr="6FB26674">
        <w:rPr>
          <w:sz w:val="22"/>
          <w:szCs w:val="22"/>
        </w:rPr>
        <w:t xml:space="preserve"> and health </w:t>
      </w:r>
      <w:r w:rsidR="004E530B" w:rsidRPr="00905357">
        <w:rPr>
          <w:sz w:val="22"/>
          <w:szCs w:val="22"/>
        </w:rPr>
        <w:t>waste management</w:t>
      </w:r>
      <w:r w:rsidR="008058B6" w:rsidRPr="00905357">
        <w:rPr>
          <w:sz w:val="22"/>
          <w:szCs w:val="22"/>
        </w:rPr>
        <w:t xml:space="preserve">. </w:t>
      </w:r>
      <w:r w:rsidR="00CD7B22" w:rsidRPr="00905357">
        <w:rPr>
          <w:sz w:val="22"/>
          <w:szCs w:val="22"/>
        </w:rPr>
        <w:t xml:space="preserve"> </w:t>
      </w:r>
      <w:r w:rsidR="00C753B2" w:rsidRPr="00905357">
        <w:rPr>
          <w:sz w:val="22"/>
          <w:szCs w:val="22"/>
        </w:rPr>
        <w:t xml:space="preserve">This action will be of </w:t>
      </w:r>
      <w:r w:rsidR="00EB0985" w:rsidRPr="00905357">
        <w:rPr>
          <w:sz w:val="22"/>
          <w:szCs w:val="22"/>
        </w:rPr>
        <w:t xml:space="preserve">a good entry to strengthen and support future value chains and livelihoods activities. </w:t>
      </w:r>
      <w:r w:rsidR="00A81B65" w:rsidRPr="00905357">
        <w:rPr>
          <w:sz w:val="22"/>
          <w:szCs w:val="22"/>
        </w:rPr>
        <w:t xml:space="preserve">Moreover, UNDP has been </w:t>
      </w:r>
      <w:r w:rsidR="00AD2D79" w:rsidRPr="00905357">
        <w:rPr>
          <w:sz w:val="22"/>
          <w:szCs w:val="22"/>
        </w:rPr>
        <w:t xml:space="preserve">supporting solar energy provision for hospitals and this practice will continue as part of COVID-19 response. </w:t>
      </w:r>
      <w:r w:rsidR="00CD7B22" w:rsidRPr="00905357">
        <w:rPr>
          <w:sz w:val="22"/>
          <w:szCs w:val="22"/>
        </w:rPr>
        <w:t xml:space="preserve">UNDP is also engaging with </w:t>
      </w:r>
      <w:r w:rsidR="00CD7B22" w:rsidRPr="00905357">
        <w:rPr>
          <w:color w:val="000000"/>
          <w:sz w:val="22"/>
          <w:szCs w:val="22"/>
          <w:bdr w:val="none" w:sz="0" w:space="0" w:color="auto" w:frame="1"/>
        </w:rPr>
        <w:t xml:space="preserve">local entrepreneurs/innovators to identify </w:t>
      </w:r>
      <w:r w:rsidR="00C446C7" w:rsidRPr="00905357">
        <w:rPr>
          <w:color w:val="000000"/>
          <w:sz w:val="22"/>
          <w:szCs w:val="22"/>
          <w:bdr w:val="none" w:sz="0" w:space="0" w:color="auto" w:frame="1"/>
        </w:rPr>
        <w:t>c</w:t>
      </w:r>
      <w:r w:rsidR="00771680" w:rsidRPr="00905357">
        <w:rPr>
          <w:color w:val="000000"/>
          <w:sz w:val="22"/>
          <w:szCs w:val="22"/>
          <w:bdr w:val="none" w:sz="0" w:space="0" w:color="auto" w:frame="1"/>
        </w:rPr>
        <w:t>reative ways to fight the spread of COVID-19 in</w:t>
      </w:r>
      <w:r w:rsidR="00E1618E" w:rsidRPr="00905357">
        <w:rPr>
          <w:color w:val="000000"/>
          <w:sz w:val="22"/>
          <w:szCs w:val="22"/>
          <w:bdr w:val="none" w:sz="0" w:space="0" w:color="auto" w:frame="1"/>
        </w:rPr>
        <w:t xml:space="preserve"> rural/remote/conflict areas, </w:t>
      </w:r>
      <w:r w:rsidR="00905357" w:rsidRPr="00905357">
        <w:rPr>
          <w:color w:val="000000"/>
          <w:sz w:val="22"/>
          <w:szCs w:val="22"/>
          <w:bdr w:val="none" w:sz="0" w:space="0" w:color="auto" w:frame="1"/>
        </w:rPr>
        <w:t>e.g.</w:t>
      </w:r>
      <w:r w:rsidR="00771680" w:rsidRPr="00905357">
        <w:rPr>
          <w:color w:val="000000"/>
          <w:sz w:val="22"/>
          <w:szCs w:val="22"/>
          <w:bdr w:val="none" w:sz="0" w:space="0" w:color="auto" w:frame="1"/>
        </w:rPr>
        <w:t xml:space="preserve"> </w:t>
      </w:r>
      <w:r w:rsidR="00905357" w:rsidRPr="00905357">
        <w:rPr>
          <w:color w:val="000000"/>
          <w:sz w:val="22"/>
          <w:szCs w:val="22"/>
          <w:bdr w:val="none" w:sz="0" w:space="0" w:color="auto" w:frame="1"/>
        </w:rPr>
        <w:t>using</w:t>
      </w:r>
      <w:r w:rsidR="00E1618E" w:rsidRPr="00905357">
        <w:rPr>
          <w:color w:val="000000"/>
          <w:sz w:val="22"/>
          <w:szCs w:val="22"/>
          <w:bdr w:val="none" w:sz="0" w:space="0" w:color="auto" w:frame="1"/>
        </w:rPr>
        <w:t xml:space="preserve"> telemedicine (see below)</w:t>
      </w:r>
      <w:r w:rsidR="00CD7B22" w:rsidRPr="00905357">
        <w:rPr>
          <w:color w:val="000000"/>
          <w:sz w:val="22"/>
          <w:szCs w:val="22"/>
          <w:bdr w:val="none" w:sz="0" w:space="0" w:color="auto" w:frame="1"/>
        </w:rPr>
        <w:t xml:space="preserve">. </w:t>
      </w:r>
    </w:p>
    <w:p w14:paraId="7344AD0D" w14:textId="77777777" w:rsidR="00E55C4F" w:rsidRPr="00905357" w:rsidRDefault="00E55C4F" w:rsidP="006A7CDC">
      <w:pPr>
        <w:spacing w:before="80"/>
        <w:jc w:val="both"/>
        <w:rPr>
          <w:sz w:val="10"/>
          <w:szCs w:val="10"/>
        </w:rPr>
      </w:pPr>
    </w:p>
    <w:p w14:paraId="3B8F8C48" w14:textId="77777777" w:rsidR="00905357" w:rsidRPr="00905357" w:rsidRDefault="0070518A" w:rsidP="00951F83">
      <w:pPr>
        <w:pStyle w:val="ListParagraph"/>
        <w:numPr>
          <w:ilvl w:val="0"/>
          <w:numId w:val="26"/>
        </w:numPr>
        <w:spacing w:after="160" w:line="220" w:lineRule="atLeast"/>
        <w:jc w:val="both"/>
        <w:rPr>
          <w:sz w:val="22"/>
          <w:szCs w:val="22"/>
        </w:rPr>
      </w:pPr>
      <w:r w:rsidRPr="00905357">
        <w:rPr>
          <w:b/>
          <w:bCs/>
          <w:sz w:val="22"/>
          <w:szCs w:val="22"/>
          <w:lang w:eastAsia="zh-CN"/>
        </w:rPr>
        <w:t xml:space="preserve">Inclusive crisis management </w:t>
      </w:r>
      <w:r w:rsidRPr="00905357">
        <w:rPr>
          <w:b/>
          <w:bCs/>
          <w:sz w:val="22"/>
          <w:szCs w:val="22"/>
        </w:rPr>
        <w:t>which also tackles drivers of conflict and exclusion</w:t>
      </w:r>
      <w:r w:rsidRPr="00905357">
        <w:rPr>
          <w:rStyle w:val="FootnoteReference"/>
          <w:b/>
          <w:bCs/>
          <w:sz w:val="22"/>
          <w:szCs w:val="22"/>
        </w:rPr>
        <w:footnoteReference w:id="9"/>
      </w:r>
      <w:r w:rsidRPr="00905357">
        <w:rPr>
          <w:b/>
          <w:bCs/>
          <w:sz w:val="22"/>
          <w:szCs w:val="22"/>
        </w:rPr>
        <w:t>, at national and subnational levels</w:t>
      </w:r>
      <w:r w:rsidRPr="00905357">
        <w:rPr>
          <w:sz w:val="22"/>
          <w:szCs w:val="22"/>
          <w:lang w:eastAsia="zh-CN"/>
        </w:rPr>
        <w:t xml:space="preserve">.  </w:t>
      </w:r>
      <w:r w:rsidRPr="00905357">
        <w:rPr>
          <w:sz w:val="22"/>
          <w:szCs w:val="22"/>
          <w:lang w:val="en-US"/>
        </w:rPr>
        <w:t xml:space="preserve">UNDP </w:t>
      </w:r>
      <w:r w:rsidR="00B06016" w:rsidRPr="00905357">
        <w:rPr>
          <w:sz w:val="22"/>
          <w:szCs w:val="22"/>
          <w:lang w:val="en-US"/>
        </w:rPr>
        <w:t>is applying whole-of-Government approach in all its activities in Libya. Therefore, UNDP, by working mainly with three key Ministries (Ministry of Health, Local Governance and Planning) will be able to response to overall Government mechanism (Min. of Planning) with the right technical advice and cooperation (Ministry of Health) in an inclusive wa</w:t>
      </w:r>
      <w:r w:rsidR="00147883" w:rsidRPr="00905357">
        <w:rPr>
          <w:sz w:val="22"/>
          <w:szCs w:val="22"/>
          <w:lang w:val="en-US"/>
        </w:rPr>
        <w:t>y</w:t>
      </w:r>
      <w:r w:rsidR="00B06016" w:rsidRPr="00905357">
        <w:rPr>
          <w:sz w:val="22"/>
          <w:szCs w:val="22"/>
          <w:lang w:val="en-US"/>
        </w:rPr>
        <w:t xml:space="preserve"> outreaching at the local level as well (Ministry of Local Governance) . More specifically, UNDP </w:t>
      </w:r>
      <w:r w:rsidRPr="00905357">
        <w:rPr>
          <w:sz w:val="22"/>
          <w:szCs w:val="22"/>
          <w:lang w:val="en-US"/>
        </w:rPr>
        <w:t>is supporting</w:t>
      </w:r>
      <w:r w:rsidR="00B62FB8" w:rsidRPr="00905357">
        <w:rPr>
          <w:sz w:val="22"/>
          <w:szCs w:val="22"/>
          <w:lang w:val="en-US"/>
        </w:rPr>
        <w:t xml:space="preserve"> the national government in their efforts to manage crisis, providing technical expertise </w:t>
      </w:r>
      <w:r w:rsidRPr="00905357">
        <w:rPr>
          <w:sz w:val="22"/>
          <w:szCs w:val="22"/>
          <w:lang w:val="en-US"/>
        </w:rPr>
        <w:t xml:space="preserve">and </w:t>
      </w:r>
      <w:r w:rsidR="00750970" w:rsidRPr="00905357">
        <w:rPr>
          <w:sz w:val="22"/>
          <w:szCs w:val="22"/>
          <w:lang w:val="en-US"/>
        </w:rPr>
        <w:t xml:space="preserve">capacity development </w:t>
      </w:r>
      <w:r w:rsidR="00B62FB8" w:rsidRPr="00905357">
        <w:rPr>
          <w:sz w:val="22"/>
          <w:szCs w:val="22"/>
          <w:lang w:val="en-US"/>
        </w:rPr>
        <w:t>at the national (line Ministries) and local level</w:t>
      </w:r>
      <w:r w:rsidR="00750970" w:rsidRPr="00905357">
        <w:rPr>
          <w:sz w:val="22"/>
          <w:szCs w:val="22"/>
          <w:lang w:val="en-US"/>
        </w:rPr>
        <w:t xml:space="preserve"> (Municipalities)</w:t>
      </w:r>
      <w:r w:rsidR="00BB3B94" w:rsidRPr="00905357">
        <w:rPr>
          <w:sz w:val="22"/>
          <w:szCs w:val="22"/>
          <w:lang w:val="en-US"/>
        </w:rPr>
        <w:t>.</w:t>
      </w:r>
      <w:r w:rsidR="00B06016" w:rsidRPr="00905357">
        <w:rPr>
          <w:sz w:val="22"/>
          <w:szCs w:val="22"/>
          <w:lang w:val="en-US"/>
        </w:rPr>
        <w:t xml:space="preserve"> </w:t>
      </w:r>
    </w:p>
    <w:p w14:paraId="0D057C8D" w14:textId="77777777" w:rsidR="00905357" w:rsidRPr="00905357" w:rsidRDefault="00905357" w:rsidP="00905357">
      <w:pPr>
        <w:pStyle w:val="ListParagraph"/>
        <w:rPr>
          <w:sz w:val="22"/>
          <w:szCs w:val="22"/>
          <w:lang w:eastAsia="zh-CN"/>
        </w:rPr>
      </w:pPr>
    </w:p>
    <w:p w14:paraId="6D324BCF" w14:textId="10C39DF5" w:rsidR="00377E84" w:rsidRPr="00905357" w:rsidRDefault="00EB1185" w:rsidP="00905357">
      <w:pPr>
        <w:pStyle w:val="ListParagraph"/>
        <w:spacing w:after="160" w:line="220" w:lineRule="atLeast"/>
        <w:ind w:left="360"/>
        <w:jc w:val="both"/>
        <w:rPr>
          <w:sz w:val="22"/>
          <w:szCs w:val="22"/>
        </w:rPr>
      </w:pPr>
      <w:r w:rsidRPr="006B08BD">
        <w:rPr>
          <w:sz w:val="22"/>
          <w:szCs w:val="22"/>
          <w:highlight w:val="yellow"/>
          <w:lang w:eastAsia="zh-CN"/>
        </w:rPr>
        <w:t>Under this RRF proposal</w:t>
      </w:r>
      <w:r w:rsidR="00F52978" w:rsidRPr="00905357">
        <w:rPr>
          <w:sz w:val="22"/>
          <w:szCs w:val="22"/>
          <w:lang w:eastAsia="zh-CN"/>
        </w:rPr>
        <w:t xml:space="preserve">, </w:t>
      </w:r>
      <w:r w:rsidRPr="00905357">
        <w:rPr>
          <w:sz w:val="22"/>
          <w:szCs w:val="22"/>
          <w:lang w:eastAsia="zh-CN"/>
        </w:rPr>
        <w:t>UNDP will also support</w:t>
      </w:r>
      <w:r w:rsidR="00750970" w:rsidRPr="00905357">
        <w:rPr>
          <w:sz w:val="22"/>
          <w:szCs w:val="22"/>
          <w:lang w:eastAsia="zh-CN"/>
        </w:rPr>
        <w:t xml:space="preserve"> Government</w:t>
      </w:r>
      <w:r w:rsidR="00771D4E" w:rsidRPr="00905357">
        <w:rPr>
          <w:sz w:val="22"/>
          <w:szCs w:val="22"/>
          <w:lang w:eastAsia="zh-CN"/>
        </w:rPr>
        <w:t xml:space="preserve"> in its aim of </w:t>
      </w:r>
      <w:r w:rsidR="00FB0B1E" w:rsidRPr="00905357">
        <w:rPr>
          <w:sz w:val="22"/>
          <w:szCs w:val="22"/>
        </w:rPr>
        <w:t>carrying out effective nationwide</w:t>
      </w:r>
      <w:r w:rsidR="00750970" w:rsidRPr="00905357">
        <w:rPr>
          <w:sz w:val="22"/>
          <w:szCs w:val="22"/>
          <w:lang w:eastAsia="zh-CN"/>
        </w:rPr>
        <w:t xml:space="preserve"> </w:t>
      </w:r>
      <w:r w:rsidR="00750970" w:rsidRPr="00905357">
        <w:rPr>
          <w:sz w:val="22"/>
          <w:szCs w:val="22"/>
        </w:rPr>
        <w:t>public information campaigns that help</w:t>
      </w:r>
      <w:r w:rsidR="00FB0B1E" w:rsidRPr="00905357">
        <w:rPr>
          <w:sz w:val="22"/>
          <w:szCs w:val="22"/>
        </w:rPr>
        <w:t xml:space="preserve"> to </w:t>
      </w:r>
      <w:r w:rsidR="00BC63B9" w:rsidRPr="00905357">
        <w:rPr>
          <w:sz w:val="22"/>
          <w:szCs w:val="22"/>
        </w:rPr>
        <w:t xml:space="preserve">empower citizens to fight COVID-19, </w:t>
      </w:r>
      <w:r w:rsidR="00750970" w:rsidRPr="00905357">
        <w:rPr>
          <w:sz w:val="22"/>
          <w:szCs w:val="22"/>
        </w:rPr>
        <w:t xml:space="preserve">break down community resistance to countermeasures, counteract harmful misinformation, mitigate widespread </w:t>
      </w:r>
      <w:r w:rsidR="1CBEDDAD" w:rsidRPr="00905357">
        <w:rPr>
          <w:sz w:val="22"/>
          <w:szCs w:val="22"/>
        </w:rPr>
        <w:t xml:space="preserve"> stigmatisation and discrimination, violations of human rights</w:t>
      </w:r>
      <w:r w:rsidR="00750970" w:rsidRPr="00905357">
        <w:rPr>
          <w:sz w:val="22"/>
          <w:szCs w:val="22"/>
        </w:rPr>
        <w:t xml:space="preserve"> and threats to safety </w:t>
      </w:r>
      <w:r w:rsidR="00771D4E" w:rsidRPr="00905357">
        <w:rPr>
          <w:sz w:val="22"/>
          <w:szCs w:val="22"/>
        </w:rPr>
        <w:t>(including for</w:t>
      </w:r>
      <w:r w:rsidR="00750970" w:rsidRPr="00905357">
        <w:rPr>
          <w:sz w:val="22"/>
          <w:szCs w:val="22"/>
        </w:rPr>
        <w:t xml:space="preserve"> migrants and other marginalized groups</w:t>
      </w:r>
      <w:r w:rsidR="00C443B4" w:rsidRPr="00905357">
        <w:rPr>
          <w:sz w:val="22"/>
          <w:szCs w:val="22"/>
        </w:rPr>
        <w:t>)</w:t>
      </w:r>
      <w:r w:rsidR="00750970" w:rsidRPr="00905357">
        <w:rPr>
          <w:sz w:val="22"/>
          <w:szCs w:val="22"/>
        </w:rPr>
        <w:t xml:space="preserve">. </w:t>
      </w:r>
      <w:r w:rsidR="00EB7256" w:rsidRPr="00905357">
        <w:rPr>
          <w:sz w:val="22"/>
          <w:szCs w:val="22"/>
        </w:rPr>
        <w:t>UNDP Libya’s Communication unit has already been strategizing a harmonized approach to counter-messaging with other UN Agencies in Libya</w:t>
      </w:r>
      <w:r w:rsidR="00B01F7E" w:rsidRPr="00905357">
        <w:rPr>
          <w:sz w:val="22"/>
          <w:szCs w:val="22"/>
        </w:rPr>
        <w:t>, especially with UNICEF and WHO,</w:t>
      </w:r>
      <w:r w:rsidR="00EB7256" w:rsidRPr="00905357">
        <w:rPr>
          <w:sz w:val="22"/>
          <w:szCs w:val="22"/>
        </w:rPr>
        <w:t xml:space="preserve"> through the Communication with Communities sub-working group. A </w:t>
      </w:r>
      <w:r w:rsidR="00147883" w:rsidRPr="00905357">
        <w:rPr>
          <w:sz w:val="22"/>
          <w:szCs w:val="22"/>
        </w:rPr>
        <w:t>clear guideline</w:t>
      </w:r>
      <w:r w:rsidR="00EB7256" w:rsidRPr="00905357">
        <w:rPr>
          <w:sz w:val="22"/>
          <w:szCs w:val="22"/>
        </w:rPr>
        <w:t xml:space="preserve"> </w:t>
      </w:r>
      <w:proofErr w:type="gramStart"/>
      <w:r w:rsidR="00EB7256" w:rsidRPr="00905357">
        <w:rPr>
          <w:sz w:val="22"/>
          <w:szCs w:val="22"/>
        </w:rPr>
        <w:t>are</w:t>
      </w:r>
      <w:proofErr w:type="gramEnd"/>
      <w:r w:rsidR="00EB7256" w:rsidRPr="00905357">
        <w:rPr>
          <w:sz w:val="22"/>
          <w:szCs w:val="22"/>
        </w:rPr>
        <w:t xml:space="preserve"> being developed at the time of writing this proposal. </w:t>
      </w:r>
      <w:r w:rsidR="00750970" w:rsidRPr="00905357">
        <w:rPr>
          <w:sz w:val="22"/>
          <w:szCs w:val="22"/>
        </w:rPr>
        <w:t xml:space="preserve"> </w:t>
      </w:r>
      <w:r w:rsidR="00BC01FE" w:rsidRPr="00905357">
        <w:rPr>
          <w:sz w:val="22"/>
          <w:szCs w:val="22"/>
        </w:rPr>
        <w:t>Through</w:t>
      </w:r>
      <w:r w:rsidR="008B1C14" w:rsidRPr="00905357">
        <w:rPr>
          <w:sz w:val="22"/>
          <w:szCs w:val="22"/>
        </w:rPr>
        <w:t xml:space="preserve"> its existing stabilization</w:t>
      </w:r>
      <w:r w:rsidR="005727B4" w:rsidRPr="00905357">
        <w:rPr>
          <w:sz w:val="22"/>
          <w:szCs w:val="22"/>
        </w:rPr>
        <w:t xml:space="preserve"> and</w:t>
      </w:r>
      <w:r w:rsidR="00750970" w:rsidRPr="00905357">
        <w:rPr>
          <w:sz w:val="22"/>
          <w:szCs w:val="22"/>
        </w:rPr>
        <w:t xml:space="preserve"> reconciliation </w:t>
      </w:r>
      <w:r w:rsidR="005727B4" w:rsidRPr="00905357">
        <w:rPr>
          <w:sz w:val="22"/>
          <w:szCs w:val="22"/>
        </w:rPr>
        <w:t>programmes, UNDP will leverage</w:t>
      </w:r>
      <w:r w:rsidR="00750970" w:rsidRPr="00905357">
        <w:rPr>
          <w:sz w:val="22"/>
          <w:szCs w:val="22"/>
        </w:rPr>
        <w:t xml:space="preserve"> </w:t>
      </w:r>
      <w:r w:rsidR="008B1C14" w:rsidRPr="00905357">
        <w:rPr>
          <w:sz w:val="22"/>
          <w:szCs w:val="22"/>
        </w:rPr>
        <w:t>its large networks of peace</w:t>
      </w:r>
      <w:r w:rsidR="005727B4" w:rsidRPr="00905357">
        <w:rPr>
          <w:sz w:val="22"/>
          <w:szCs w:val="22"/>
        </w:rPr>
        <w:t xml:space="preserve"> actors and</w:t>
      </w:r>
      <w:r w:rsidR="008B1C14" w:rsidRPr="00905357">
        <w:rPr>
          <w:sz w:val="22"/>
          <w:szCs w:val="22"/>
        </w:rPr>
        <w:t xml:space="preserve"> </w:t>
      </w:r>
      <w:r w:rsidR="005727B4" w:rsidRPr="00905357">
        <w:rPr>
          <w:sz w:val="22"/>
          <w:szCs w:val="22"/>
        </w:rPr>
        <w:t xml:space="preserve">mediators </w:t>
      </w:r>
      <w:r w:rsidR="006D5BE6" w:rsidRPr="00905357">
        <w:rPr>
          <w:sz w:val="22"/>
          <w:szCs w:val="22"/>
        </w:rPr>
        <w:t xml:space="preserve">to disseminate essential information and </w:t>
      </w:r>
      <w:r w:rsidR="005727B4" w:rsidRPr="00905357">
        <w:rPr>
          <w:sz w:val="22"/>
          <w:szCs w:val="22"/>
        </w:rPr>
        <w:t>counter</w:t>
      </w:r>
      <w:r w:rsidR="006D5BE6" w:rsidRPr="00905357">
        <w:rPr>
          <w:sz w:val="22"/>
          <w:szCs w:val="22"/>
        </w:rPr>
        <w:t xml:space="preserve"> </w:t>
      </w:r>
      <w:r w:rsidR="005727B4" w:rsidRPr="00905357">
        <w:rPr>
          <w:sz w:val="22"/>
          <w:szCs w:val="22"/>
        </w:rPr>
        <w:t xml:space="preserve">disinformation </w:t>
      </w:r>
      <w:r w:rsidR="006D5BE6" w:rsidRPr="00905357">
        <w:rPr>
          <w:sz w:val="22"/>
          <w:szCs w:val="22"/>
        </w:rPr>
        <w:t>which contributes to increased stigmatisation, discrimination and conflict.</w:t>
      </w:r>
      <w:r w:rsidR="00C443B4" w:rsidRPr="00905357">
        <w:rPr>
          <w:sz w:val="22"/>
          <w:szCs w:val="22"/>
        </w:rPr>
        <w:t xml:space="preserve"> </w:t>
      </w:r>
      <w:r w:rsidR="00541D58" w:rsidRPr="00905357">
        <w:rPr>
          <w:sz w:val="22"/>
          <w:szCs w:val="22"/>
        </w:rPr>
        <w:t>This work has started through a social media campaign (#</w:t>
      </w:r>
      <w:proofErr w:type="spellStart"/>
      <w:r w:rsidR="00541D58" w:rsidRPr="00905357">
        <w:rPr>
          <w:sz w:val="22"/>
          <w:szCs w:val="22"/>
        </w:rPr>
        <w:t>unitedagainstcorona</w:t>
      </w:r>
      <w:proofErr w:type="spellEnd"/>
      <w:r w:rsidR="00541D58" w:rsidRPr="00905357">
        <w:rPr>
          <w:sz w:val="22"/>
          <w:szCs w:val="22"/>
        </w:rPr>
        <w:t xml:space="preserve"> #</w:t>
      </w:r>
      <w:proofErr w:type="spellStart"/>
      <w:r w:rsidR="00541D58" w:rsidRPr="00905357">
        <w:rPr>
          <w:sz w:val="22"/>
          <w:szCs w:val="22"/>
        </w:rPr>
        <w:t>peacenowstopcorona</w:t>
      </w:r>
      <w:proofErr w:type="spellEnd"/>
      <w:r w:rsidR="00541D58" w:rsidRPr="00905357">
        <w:rPr>
          <w:sz w:val="22"/>
          <w:szCs w:val="22"/>
        </w:rPr>
        <w:t xml:space="preserve">) </w:t>
      </w:r>
      <w:r w:rsidR="00BC01FE" w:rsidRPr="00905357">
        <w:rPr>
          <w:sz w:val="22"/>
          <w:szCs w:val="22"/>
        </w:rPr>
        <w:t>to support</w:t>
      </w:r>
      <w:r w:rsidR="00541D58" w:rsidRPr="00905357">
        <w:rPr>
          <w:sz w:val="22"/>
          <w:szCs w:val="22"/>
        </w:rPr>
        <w:t xml:space="preserve"> ceasefire</w:t>
      </w:r>
      <w:r w:rsidR="00BC01FE" w:rsidRPr="00905357">
        <w:rPr>
          <w:sz w:val="22"/>
          <w:szCs w:val="22"/>
        </w:rPr>
        <w:t xml:space="preserve"> and COVID-19</w:t>
      </w:r>
      <w:r w:rsidR="005F7754" w:rsidRPr="00905357">
        <w:rPr>
          <w:sz w:val="22"/>
          <w:szCs w:val="22"/>
        </w:rPr>
        <w:t xml:space="preserve"> response</w:t>
      </w:r>
      <w:r w:rsidR="00BC63B9" w:rsidRPr="00905357">
        <w:rPr>
          <w:sz w:val="22"/>
          <w:szCs w:val="22"/>
        </w:rPr>
        <w:t>.</w:t>
      </w:r>
      <w:r w:rsidR="0078145E" w:rsidRPr="00905357">
        <w:rPr>
          <w:sz w:val="22"/>
          <w:szCs w:val="22"/>
        </w:rPr>
        <w:t xml:space="preserve"> With specific </w:t>
      </w:r>
      <w:r w:rsidR="0078145E" w:rsidRPr="00905357">
        <w:rPr>
          <w:sz w:val="22"/>
          <w:szCs w:val="22"/>
        </w:rPr>
        <w:lastRenderedPageBreak/>
        <w:t>regards to countering misinformation, UNDP Libya will seek to form a collaborative network involving an institution of higher education that specialises in Political Communications, WHO, UNICEF and relevant (Libyan) government institutions to develop an e-learning tool in this regard. This e-learning tool will include material that will be used to guide the development of theoretical and practical approaches to countering misinformation.</w:t>
      </w:r>
    </w:p>
    <w:p w14:paraId="3D932C0D" w14:textId="77777777" w:rsidR="00377E84" w:rsidRPr="006A7CDC" w:rsidRDefault="00377E84" w:rsidP="006A7CDC">
      <w:pPr>
        <w:pStyle w:val="ListParagraph"/>
        <w:spacing w:after="160" w:line="220" w:lineRule="atLeast"/>
        <w:ind w:left="360"/>
        <w:jc w:val="both"/>
        <w:rPr>
          <w:bCs/>
          <w:sz w:val="10"/>
          <w:szCs w:val="10"/>
        </w:rPr>
      </w:pPr>
    </w:p>
    <w:p w14:paraId="520DBF45" w14:textId="576FA9DA" w:rsidR="00E55C4F" w:rsidRPr="006A7CDC" w:rsidRDefault="00BC63B9" w:rsidP="6DBDFD51">
      <w:pPr>
        <w:pStyle w:val="ListParagraph"/>
        <w:numPr>
          <w:ilvl w:val="0"/>
          <w:numId w:val="26"/>
        </w:numPr>
        <w:spacing w:after="160" w:line="220" w:lineRule="atLeast"/>
        <w:jc w:val="both"/>
        <w:rPr>
          <w:sz w:val="22"/>
          <w:szCs w:val="22"/>
        </w:rPr>
      </w:pPr>
      <w:r w:rsidRPr="6DBDFD51">
        <w:rPr>
          <w:b/>
          <w:bCs/>
          <w:sz w:val="22"/>
          <w:szCs w:val="22"/>
          <w:lang w:eastAsia="zh-CN"/>
        </w:rPr>
        <w:t>Assessing the socio-economic impact of the crisis</w:t>
      </w:r>
      <w:r w:rsidR="00F25B4B" w:rsidRPr="6DBDFD51">
        <w:rPr>
          <w:b/>
          <w:bCs/>
          <w:sz w:val="22"/>
          <w:szCs w:val="22"/>
          <w:lang w:eastAsia="zh-CN"/>
        </w:rPr>
        <w:t xml:space="preserve"> and supporting a recovery strategy and public policies for inclusive development, </w:t>
      </w:r>
      <w:r w:rsidR="00F25B4B" w:rsidRPr="6DBDFD51">
        <w:rPr>
          <w:sz w:val="22"/>
          <w:szCs w:val="22"/>
          <w:lang w:eastAsia="zh-CN"/>
        </w:rPr>
        <w:t>within ongoing peacebuilding</w:t>
      </w:r>
      <w:r w:rsidR="00F25B4B" w:rsidRPr="6DBDFD51">
        <w:rPr>
          <w:b/>
          <w:bCs/>
          <w:sz w:val="22"/>
          <w:szCs w:val="22"/>
          <w:lang w:eastAsia="zh-CN"/>
        </w:rPr>
        <w:t xml:space="preserve"> </w:t>
      </w:r>
      <w:r w:rsidR="00F25B4B" w:rsidRPr="6DBDFD51">
        <w:rPr>
          <w:sz w:val="22"/>
          <w:szCs w:val="22"/>
        </w:rPr>
        <w:t xml:space="preserve">efforts for economic recovery, reconstruction and development in which UNDP is highly involved with UNSMIL, </w:t>
      </w:r>
      <w:r w:rsidRPr="6DBDFD51">
        <w:rPr>
          <w:sz w:val="22"/>
          <w:szCs w:val="22"/>
        </w:rPr>
        <w:t>w</w:t>
      </w:r>
      <w:r w:rsidRPr="6DBDFD51">
        <w:rPr>
          <w:sz w:val="22"/>
          <w:szCs w:val="22"/>
          <w:lang w:eastAsia="zh-CN"/>
        </w:rPr>
        <w:t xml:space="preserve">ith a focus on the </w:t>
      </w:r>
      <w:r w:rsidR="00F25B4B" w:rsidRPr="6DBDFD51">
        <w:rPr>
          <w:sz w:val="22"/>
          <w:szCs w:val="22"/>
          <w:lang w:eastAsia="zh-CN"/>
        </w:rPr>
        <w:t xml:space="preserve">additional </w:t>
      </w:r>
      <w:r w:rsidRPr="6DBDFD51">
        <w:rPr>
          <w:sz w:val="22"/>
          <w:szCs w:val="22"/>
          <w:lang w:eastAsia="zh-CN"/>
        </w:rPr>
        <w:t xml:space="preserve">impact of the epidemic on the livelihoods of poor and vulnerable households </w:t>
      </w:r>
      <w:r w:rsidR="00026622" w:rsidRPr="6DBDFD51">
        <w:rPr>
          <w:sz w:val="22"/>
          <w:szCs w:val="22"/>
          <w:lang w:eastAsia="zh-CN"/>
        </w:rPr>
        <w:t>and businesses</w:t>
      </w:r>
      <w:r w:rsidR="00E55C4F" w:rsidRPr="6DBDFD51">
        <w:rPr>
          <w:sz w:val="22"/>
          <w:szCs w:val="22"/>
          <w:lang w:eastAsia="zh-CN"/>
        </w:rPr>
        <w:t xml:space="preserve"> and with a view to pave the way for post-COVID recovery and peacebuilding</w:t>
      </w:r>
      <w:r w:rsidR="00377E84" w:rsidRPr="6DBDFD51">
        <w:rPr>
          <w:sz w:val="22"/>
          <w:szCs w:val="22"/>
          <w:lang w:eastAsia="zh-CN"/>
        </w:rPr>
        <w:t xml:space="preserve"> that leaves no one behind, including</w:t>
      </w:r>
      <w:r w:rsidR="00E55C4F" w:rsidRPr="6DBDFD51">
        <w:rPr>
          <w:sz w:val="22"/>
          <w:szCs w:val="22"/>
          <w:lang w:eastAsia="zh-CN"/>
        </w:rPr>
        <w:t xml:space="preserve"> IDPs, </w:t>
      </w:r>
      <w:r w:rsidR="002508E4" w:rsidRPr="6DBDFD51">
        <w:rPr>
          <w:sz w:val="22"/>
          <w:szCs w:val="22"/>
        </w:rPr>
        <w:t xml:space="preserve">the elderly, people with disabilities (PWDs), </w:t>
      </w:r>
      <w:r w:rsidR="00E55C4F" w:rsidRPr="6DBDFD51">
        <w:rPr>
          <w:sz w:val="22"/>
          <w:szCs w:val="22"/>
          <w:lang w:eastAsia="zh-CN"/>
        </w:rPr>
        <w:t>refugees and migrants; women; and people without access to health services, including those living in remote, hard-to-reach areas</w:t>
      </w:r>
      <w:r w:rsidR="00F56436" w:rsidRPr="6DBDFD51">
        <w:rPr>
          <w:sz w:val="22"/>
          <w:szCs w:val="22"/>
          <w:lang w:eastAsia="zh-CN"/>
        </w:rPr>
        <w:t xml:space="preserve"> including rural and conflict affected areas </w:t>
      </w:r>
      <w:r w:rsidR="00F56436">
        <w:t>in the west, east and south of the country</w:t>
      </w:r>
      <w:r w:rsidR="00E55C4F" w:rsidRPr="6DBDFD51">
        <w:rPr>
          <w:sz w:val="22"/>
          <w:szCs w:val="22"/>
          <w:lang w:eastAsia="zh-CN"/>
        </w:rPr>
        <w:t xml:space="preserve">.  </w:t>
      </w:r>
    </w:p>
    <w:p w14:paraId="790E0B7E" w14:textId="3721841B" w:rsidR="00E62169" w:rsidRPr="006A7CDC" w:rsidRDefault="005A080D" w:rsidP="006A7CDC">
      <w:pPr>
        <w:jc w:val="both"/>
        <w:rPr>
          <w:color w:val="000000"/>
          <w:sz w:val="22"/>
          <w:szCs w:val="22"/>
        </w:rPr>
      </w:pPr>
      <w:r w:rsidRPr="006A7CDC">
        <w:rPr>
          <w:b/>
          <w:color w:val="000000"/>
          <w:sz w:val="22"/>
          <w:szCs w:val="22"/>
        </w:rPr>
        <w:t xml:space="preserve">In all these areas, the </w:t>
      </w:r>
      <w:r w:rsidR="00F77703" w:rsidRPr="006A7CDC">
        <w:rPr>
          <w:b/>
          <w:color w:val="000000"/>
          <w:sz w:val="22"/>
          <w:szCs w:val="22"/>
        </w:rPr>
        <w:t xml:space="preserve">Libyan </w:t>
      </w:r>
      <w:r w:rsidRPr="006A7CDC">
        <w:rPr>
          <w:b/>
          <w:bCs/>
          <w:color w:val="000000"/>
          <w:sz w:val="22"/>
          <w:szCs w:val="22"/>
        </w:rPr>
        <w:t>Government</w:t>
      </w:r>
      <w:r w:rsidR="00FD0EF1">
        <w:rPr>
          <w:b/>
          <w:bCs/>
          <w:color w:val="000000"/>
          <w:sz w:val="22"/>
          <w:szCs w:val="22"/>
        </w:rPr>
        <w:t>,</w:t>
      </w:r>
      <w:r w:rsidRPr="006A7CDC">
        <w:rPr>
          <w:b/>
          <w:bCs/>
          <w:color w:val="000000"/>
          <w:sz w:val="22"/>
          <w:szCs w:val="22"/>
        </w:rPr>
        <w:t xml:space="preserve"> </w:t>
      </w:r>
      <w:r w:rsidR="00F77703" w:rsidRPr="006A7CDC">
        <w:rPr>
          <w:b/>
          <w:bCs/>
          <w:color w:val="000000"/>
          <w:sz w:val="22"/>
          <w:szCs w:val="22"/>
        </w:rPr>
        <w:t xml:space="preserve">through </w:t>
      </w:r>
      <w:r w:rsidR="00FD0EF1">
        <w:rPr>
          <w:b/>
          <w:bCs/>
          <w:color w:val="000000"/>
          <w:sz w:val="22"/>
          <w:szCs w:val="22"/>
        </w:rPr>
        <w:t xml:space="preserve">the </w:t>
      </w:r>
      <w:r w:rsidR="00F77703" w:rsidRPr="006A7CDC">
        <w:rPr>
          <w:b/>
          <w:bCs/>
          <w:color w:val="000000"/>
          <w:sz w:val="22"/>
          <w:szCs w:val="22"/>
        </w:rPr>
        <w:t>Ministry of Health/Ministry of Planning</w:t>
      </w:r>
      <w:r w:rsidR="00FD0EF1">
        <w:rPr>
          <w:b/>
          <w:bCs/>
          <w:color w:val="000000"/>
          <w:sz w:val="22"/>
          <w:szCs w:val="22"/>
        </w:rPr>
        <w:t>,</w:t>
      </w:r>
      <w:r w:rsidR="00F77703" w:rsidRPr="006A7CDC">
        <w:rPr>
          <w:b/>
          <w:bCs/>
          <w:color w:val="000000"/>
          <w:sz w:val="22"/>
          <w:szCs w:val="22"/>
        </w:rPr>
        <w:t xml:space="preserve"> </w:t>
      </w:r>
      <w:r w:rsidRPr="006A7CDC">
        <w:rPr>
          <w:b/>
          <w:bCs/>
          <w:color w:val="000000"/>
          <w:sz w:val="22"/>
          <w:szCs w:val="22"/>
        </w:rPr>
        <w:t>has requested UNDP’s support</w:t>
      </w:r>
      <w:r w:rsidR="00FF115B" w:rsidRPr="006A7CDC">
        <w:rPr>
          <w:b/>
          <w:bCs/>
          <w:color w:val="000000"/>
          <w:sz w:val="22"/>
          <w:szCs w:val="22"/>
        </w:rPr>
        <w:t xml:space="preserve">. </w:t>
      </w:r>
      <w:r w:rsidR="00304AC8" w:rsidRPr="006A7CDC">
        <w:rPr>
          <w:color w:val="000000"/>
          <w:sz w:val="22"/>
          <w:szCs w:val="22"/>
        </w:rPr>
        <w:t xml:space="preserve">The proposal </w:t>
      </w:r>
      <w:r w:rsidR="005C57A2">
        <w:rPr>
          <w:color w:val="000000"/>
          <w:sz w:val="22"/>
          <w:szCs w:val="22"/>
        </w:rPr>
        <w:t>has been</w:t>
      </w:r>
      <w:r w:rsidR="00F77703" w:rsidRPr="006A7CDC">
        <w:rPr>
          <w:color w:val="000000"/>
          <w:sz w:val="22"/>
          <w:szCs w:val="22"/>
        </w:rPr>
        <w:t xml:space="preserve"> discussed </w:t>
      </w:r>
      <w:r w:rsidR="00236BAD">
        <w:rPr>
          <w:color w:val="000000"/>
          <w:sz w:val="22"/>
          <w:szCs w:val="22"/>
        </w:rPr>
        <w:t xml:space="preserve">with </w:t>
      </w:r>
      <w:r w:rsidR="005C57A2">
        <w:rPr>
          <w:color w:val="000000"/>
          <w:sz w:val="22"/>
          <w:szCs w:val="22"/>
        </w:rPr>
        <w:t xml:space="preserve">and has the support of </w:t>
      </w:r>
      <w:r w:rsidR="00304AC8" w:rsidRPr="006A7CDC">
        <w:rPr>
          <w:color w:val="000000"/>
          <w:sz w:val="22"/>
          <w:szCs w:val="22"/>
        </w:rPr>
        <w:t xml:space="preserve">the DSRG/HC/RC, reflecting UNDP’s leadership role </w:t>
      </w:r>
      <w:r w:rsidR="00FF115B" w:rsidRPr="006A7CDC">
        <w:rPr>
          <w:color w:val="000000"/>
          <w:sz w:val="22"/>
          <w:szCs w:val="22"/>
        </w:rPr>
        <w:t xml:space="preserve">as </w:t>
      </w:r>
      <w:r w:rsidRPr="006A7CDC">
        <w:rPr>
          <w:color w:val="000000"/>
          <w:sz w:val="22"/>
          <w:szCs w:val="22"/>
          <w:lang w:eastAsia="zh-CN"/>
        </w:rPr>
        <w:t>UN Sector Lead for Socio-Economic Impact and Early Recovery</w:t>
      </w:r>
      <w:r w:rsidR="000C0120">
        <w:rPr>
          <w:color w:val="000000"/>
          <w:sz w:val="22"/>
          <w:szCs w:val="22"/>
          <w:lang w:eastAsia="zh-CN"/>
        </w:rPr>
        <w:t>,</w:t>
      </w:r>
      <w:r w:rsidR="00F77703" w:rsidRPr="006A7CDC">
        <w:rPr>
          <w:color w:val="000000"/>
          <w:sz w:val="22"/>
          <w:szCs w:val="22"/>
          <w:lang w:eastAsia="zh-CN"/>
        </w:rPr>
        <w:t xml:space="preserve"> which will consequently lead to a greater programming in the area of social and economic recovery</w:t>
      </w:r>
      <w:r w:rsidR="00C40B79" w:rsidRPr="006A7CDC">
        <w:rPr>
          <w:i/>
          <w:iCs/>
          <w:color w:val="000000"/>
          <w:sz w:val="22"/>
          <w:szCs w:val="22"/>
        </w:rPr>
        <w:t xml:space="preserve"> </w:t>
      </w:r>
      <w:r w:rsidR="00F77703" w:rsidRPr="006A7CDC">
        <w:rPr>
          <w:iCs/>
          <w:color w:val="000000"/>
          <w:sz w:val="22"/>
          <w:szCs w:val="22"/>
        </w:rPr>
        <w:t xml:space="preserve">which UNDP is already leading through its Resilience and </w:t>
      </w:r>
      <w:r w:rsidR="00F25B4B" w:rsidRPr="006A7CDC">
        <w:rPr>
          <w:iCs/>
          <w:color w:val="000000"/>
          <w:sz w:val="22"/>
          <w:szCs w:val="22"/>
        </w:rPr>
        <w:t>Stabilization</w:t>
      </w:r>
      <w:r w:rsidR="00F77703" w:rsidRPr="006A7CDC">
        <w:rPr>
          <w:iCs/>
          <w:color w:val="000000"/>
          <w:sz w:val="22"/>
          <w:szCs w:val="22"/>
        </w:rPr>
        <w:t xml:space="preserve"> programmes.</w:t>
      </w:r>
      <w:r w:rsidR="00F77703" w:rsidRPr="006A7CDC">
        <w:rPr>
          <w:i/>
          <w:iCs/>
          <w:color w:val="000000"/>
          <w:sz w:val="22"/>
          <w:szCs w:val="22"/>
        </w:rPr>
        <w:t xml:space="preserve"> </w:t>
      </w:r>
      <w:r w:rsidR="00107F50" w:rsidRPr="006A7CDC">
        <w:rPr>
          <w:color w:val="000000"/>
          <w:sz w:val="22"/>
          <w:szCs w:val="22"/>
        </w:rPr>
        <w:t xml:space="preserve">The proposed activities are based on the findings of </w:t>
      </w:r>
      <w:r w:rsidR="00107F50" w:rsidRPr="00B92F65">
        <w:rPr>
          <w:color w:val="000000"/>
          <w:sz w:val="22"/>
          <w:szCs w:val="22"/>
        </w:rPr>
        <w:t xml:space="preserve">the </w:t>
      </w:r>
      <w:r w:rsidR="00F77703" w:rsidRPr="005C34A0">
        <w:rPr>
          <w:color w:val="000000"/>
          <w:sz w:val="22"/>
          <w:szCs w:val="22"/>
        </w:rPr>
        <w:t>UN/WHO country response plan</w:t>
      </w:r>
      <w:r w:rsidR="00F77703" w:rsidRPr="00B92F65">
        <w:rPr>
          <w:color w:val="000000"/>
          <w:sz w:val="22"/>
          <w:szCs w:val="22"/>
        </w:rPr>
        <w:t>.</w:t>
      </w:r>
      <w:r w:rsidR="00F77703" w:rsidRPr="006A7CDC">
        <w:rPr>
          <w:color w:val="000000"/>
          <w:sz w:val="22"/>
          <w:szCs w:val="22"/>
        </w:rPr>
        <w:t xml:space="preserve"> </w:t>
      </w:r>
      <w:r w:rsidR="00C85176">
        <w:rPr>
          <w:color w:val="000000"/>
          <w:sz w:val="22"/>
          <w:szCs w:val="22"/>
        </w:rPr>
        <w:t>UNDP Libya is</w:t>
      </w:r>
      <w:r w:rsidR="00C40B79" w:rsidRPr="006A7CDC">
        <w:rPr>
          <w:color w:val="000000"/>
          <w:sz w:val="22"/>
          <w:szCs w:val="22"/>
        </w:rPr>
        <w:t xml:space="preserve"> in discussions with </w:t>
      </w:r>
      <w:r w:rsidR="00F77703" w:rsidRPr="006A7CDC">
        <w:rPr>
          <w:color w:val="000000"/>
          <w:sz w:val="22"/>
          <w:szCs w:val="22"/>
        </w:rPr>
        <w:t xml:space="preserve">WHO, UNSMIL, NGOs (REACH, Tatweer) on taking forward the activities listed below. </w:t>
      </w:r>
      <w:r w:rsidR="00C40B79" w:rsidRPr="006A7CDC">
        <w:rPr>
          <w:color w:val="000000"/>
          <w:sz w:val="22"/>
          <w:szCs w:val="22"/>
        </w:rPr>
        <w:t xml:space="preserve">The proposal has strong prospects for up-scaling and bringing in further catalytic funding from </w:t>
      </w:r>
      <w:r w:rsidR="00F560BD" w:rsidRPr="006A7CDC">
        <w:rPr>
          <w:color w:val="000000"/>
          <w:sz w:val="22"/>
          <w:szCs w:val="22"/>
        </w:rPr>
        <w:t>additional</w:t>
      </w:r>
      <w:r w:rsidR="00C40B79" w:rsidRPr="006A7CDC">
        <w:rPr>
          <w:color w:val="000000"/>
          <w:sz w:val="22"/>
          <w:szCs w:val="22"/>
        </w:rPr>
        <w:t xml:space="preserve"> partners</w:t>
      </w:r>
      <w:r w:rsidR="00C85176">
        <w:rPr>
          <w:color w:val="000000"/>
          <w:sz w:val="22"/>
          <w:szCs w:val="22"/>
        </w:rPr>
        <w:t xml:space="preserve">. </w:t>
      </w:r>
      <w:r w:rsidR="00F560BD" w:rsidRPr="006A7CDC">
        <w:rPr>
          <w:color w:val="000000"/>
          <w:sz w:val="22"/>
          <w:szCs w:val="22"/>
        </w:rPr>
        <w:t>UNDP will target engagement with the following donors</w:t>
      </w:r>
      <w:r w:rsidR="00F77703" w:rsidRPr="006A7CDC">
        <w:rPr>
          <w:color w:val="000000"/>
          <w:sz w:val="22"/>
          <w:szCs w:val="22"/>
        </w:rPr>
        <w:t>; European Union, EU Member States, World Bank, IFIs,</w:t>
      </w:r>
      <w:r w:rsidR="00C85176">
        <w:rPr>
          <w:color w:val="000000"/>
          <w:sz w:val="22"/>
          <w:szCs w:val="22"/>
        </w:rPr>
        <w:t xml:space="preserve"> and the</w:t>
      </w:r>
      <w:r w:rsidR="00F77703" w:rsidRPr="006A7CDC">
        <w:rPr>
          <w:color w:val="000000"/>
          <w:sz w:val="22"/>
          <w:szCs w:val="22"/>
        </w:rPr>
        <w:t xml:space="preserve"> Private Sector (Siemens, Toyota, Kia Group). </w:t>
      </w:r>
    </w:p>
    <w:bookmarkEnd w:id="3"/>
    <w:p w14:paraId="2ADBCD59" w14:textId="77777777" w:rsidR="005A080D" w:rsidRPr="006A7CDC" w:rsidRDefault="005A080D" w:rsidP="006A7CDC">
      <w:pPr>
        <w:pStyle w:val="ListParagraph"/>
        <w:spacing w:after="160" w:line="220" w:lineRule="atLeast"/>
        <w:ind w:left="360"/>
        <w:jc w:val="both"/>
        <w:rPr>
          <w:bCs/>
          <w:sz w:val="22"/>
          <w:szCs w:val="22"/>
          <w:lang w:val="en-US"/>
        </w:rPr>
      </w:pPr>
    </w:p>
    <w:p w14:paraId="320943AE" w14:textId="77777777" w:rsidR="004357C5" w:rsidRPr="006A7CDC" w:rsidRDefault="00A16F8B" w:rsidP="00602DEA">
      <w:pPr>
        <w:rPr>
          <w:b/>
          <w:sz w:val="22"/>
        </w:rPr>
      </w:pPr>
      <w:r w:rsidRPr="006A7CDC">
        <w:rPr>
          <w:b/>
          <w:sz w:val="22"/>
        </w:rPr>
        <w:t>2</w:t>
      </w:r>
      <w:r w:rsidR="007253BE" w:rsidRPr="006A7CDC">
        <w:rPr>
          <w:b/>
          <w:sz w:val="22"/>
        </w:rPr>
        <w:t xml:space="preserve">. </w:t>
      </w:r>
      <w:r w:rsidR="004357C5" w:rsidRPr="006A7CDC">
        <w:rPr>
          <w:b/>
          <w:sz w:val="22"/>
        </w:rPr>
        <w:t>PROJECT OUTPUTS AND ACTIVITIES</w:t>
      </w:r>
    </w:p>
    <w:p w14:paraId="28764540" w14:textId="77777777" w:rsidR="00AD79B5" w:rsidRPr="006A7CDC" w:rsidRDefault="00AD79B5" w:rsidP="006A7CDC">
      <w:pPr>
        <w:jc w:val="both"/>
        <w:rPr>
          <w:bCs/>
        </w:rPr>
      </w:pPr>
    </w:p>
    <w:p w14:paraId="7349BDC4" w14:textId="77777777" w:rsidR="00627E9C" w:rsidRPr="006A7CDC" w:rsidRDefault="00627E9C" w:rsidP="6DBDFD51">
      <w:pPr>
        <w:jc w:val="both"/>
        <w:rPr>
          <w:color w:val="000000"/>
          <w:sz w:val="22"/>
          <w:szCs w:val="22"/>
          <w:lang w:eastAsia="zh-CN"/>
        </w:rPr>
      </w:pPr>
      <w:r w:rsidRPr="6DBDFD51">
        <w:rPr>
          <w:color w:val="000000"/>
          <w:sz w:val="22"/>
          <w:szCs w:val="22"/>
        </w:rPr>
        <w:t xml:space="preserve">In the context of UNDP’s broader COVID-19 support described above, this proposal for rapid response facility support focuses on the elements that will </w:t>
      </w:r>
      <w:r w:rsidRPr="6DBDFD51">
        <w:rPr>
          <w:color w:val="000000"/>
          <w:sz w:val="22"/>
          <w:szCs w:val="22"/>
          <w:lang w:eastAsia="zh-CN"/>
        </w:rPr>
        <w:t>generate immediate impact</w:t>
      </w:r>
      <w:r w:rsidRPr="6DBDFD51">
        <w:rPr>
          <w:rStyle w:val="FootnoteReference"/>
          <w:color w:val="000000"/>
          <w:sz w:val="22"/>
          <w:szCs w:val="22"/>
          <w:lang w:eastAsia="zh-CN"/>
        </w:rPr>
        <w:footnoteReference w:id="10"/>
      </w:r>
      <w:r w:rsidRPr="6DBDFD51">
        <w:rPr>
          <w:color w:val="000000"/>
          <w:sz w:val="22"/>
          <w:szCs w:val="22"/>
          <w:lang w:eastAsia="zh-CN"/>
        </w:rPr>
        <w:t xml:space="preserve"> and address critical gaps, while providing an evidence base for scaled-up partnership with government and donors and catalytic programmatic interventions as a model to formulate a full-scale post COVID-19 recovery and peacebuilding effort.</w:t>
      </w:r>
    </w:p>
    <w:p w14:paraId="56073255" w14:textId="77777777" w:rsidR="00E754F6" w:rsidRPr="006A7CDC" w:rsidRDefault="00E754F6" w:rsidP="006A7CDC">
      <w:pPr>
        <w:jc w:val="both"/>
        <w:rPr>
          <w:bCs/>
          <w:sz w:val="22"/>
          <w:szCs w:val="22"/>
          <w:lang w:eastAsia="zh-CN"/>
        </w:rPr>
      </w:pPr>
    </w:p>
    <w:p w14:paraId="6D22BB19" w14:textId="77777777" w:rsidR="00A910C5" w:rsidRPr="006A7CDC" w:rsidRDefault="00A910C5" w:rsidP="006A7CDC">
      <w:pPr>
        <w:jc w:val="both"/>
        <w:rPr>
          <w:b/>
          <w:color w:val="000000"/>
          <w:sz w:val="22"/>
          <w:szCs w:val="22"/>
          <w:bdr w:val="none" w:sz="0" w:space="0" w:color="auto" w:frame="1"/>
        </w:rPr>
      </w:pPr>
      <w:r w:rsidRPr="006A7CDC">
        <w:rPr>
          <w:b/>
          <w:bCs/>
          <w:color w:val="000000"/>
          <w:sz w:val="22"/>
          <w:szCs w:val="22"/>
          <w:bdr w:val="none" w:sz="0" w:space="0" w:color="auto" w:frame="1"/>
        </w:rPr>
        <w:t>Output 1</w:t>
      </w:r>
      <w:r w:rsidRPr="006A7CDC">
        <w:rPr>
          <w:color w:val="000000"/>
          <w:sz w:val="22"/>
          <w:szCs w:val="22"/>
          <w:bdr w:val="none" w:sz="0" w:space="0" w:color="auto" w:frame="1"/>
        </w:rPr>
        <w:t xml:space="preserve">: </w:t>
      </w:r>
      <w:r w:rsidRPr="006A7CDC">
        <w:rPr>
          <w:b/>
          <w:color w:val="000000"/>
          <w:sz w:val="22"/>
          <w:szCs w:val="22"/>
          <w:bdr w:val="none" w:sz="0" w:space="0" w:color="auto" w:frame="1"/>
        </w:rPr>
        <w:t>STRENGTHENING THE LIBYAN HEALTH SYSTEM</w:t>
      </w:r>
    </w:p>
    <w:p w14:paraId="68708E37" w14:textId="77777777" w:rsidR="002336FC" w:rsidRPr="006A7CDC" w:rsidRDefault="002336FC" w:rsidP="006A7CDC">
      <w:pPr>
        <w:jc w:val="both"/>
        <w:rPr>
          <w:color w:val="000000"/>
          <w:sz w:val="10"/>
          <w:szCs w:val="10"/>
          <w:bdr w:val="none" w:sz="0" w:space="0" w:color="auto" w:frame="1"/>
        </w:rPr>
      </w:pPr>
    </w:p>
    <w:p w14:paraId="410CAF9E" w14:textId="21658ACF" w:rsidR="00C80901" w:rsidRPr="006A7CDC" w:rsidRDefault="00A910C5" w:rsidP="006A7CDC">
      <w:pPr>
        <w:numPr>
          <w:ilvl w:val="0"/>
          <w:numId w:val="35"/>
        </w:numPr>
        <w:jc w:val="both"/>
        <w:rPr>
          <w:color w:val="000000"/>
          <w:sz w:val="22"/>
          <w:szCs w:val="22"/>
          <w:bdr w:val="none" w:sz="0" w:space="0" w:color="auto" w:frame="1"/>
        </w:rPr>
      </w:pPr>
      <w:r w:rsidRPr="006A7CDC">
        <w:rPr>
          <w:b/>
          <w:bCs/>
          <w:color w:val="000000"/>
          <w:sz w:val="22"/>
          <w:szCs w:val="22"/>
          <w:bdr w:val="none" w:sz="0" w:space="0" w:color="auto" w:frame="1"/>
        </w:rPr>
        <w:t>Activity 1.1:</w:t>
      </w:r>
      <w:r w:rsidRPr="006A7CDC">
        <w:rPr>
          <w:color w:val="000000"/>
          <w:sz w:val="22"/>
          <w:szCs w:val="22"/>
          <w:bdr w:val="none" w:sz="0" w:space="0" w:color="auto" w:frame="1"/>
        </w:rPr>
        <w:t xml:space="preserve"> </w:t>
      </w:r>
      <w:r w:rsidR="00C80901" w:rsidRPr="006A7CDC">
        <w:rPr>
          <w:color w:val="000000"/>
          <w:sz w:val="22"/>
          <w:szCs w:val="22"/>
          <w:bdr w:val="none" w:sz="0" w:space="0" w:color="auto" w:frame="1"/>
        </w:rPr>
        <w:t>In collaboration with WHO and the Ministry of Health</w:t>
      </w:r>
      <w:r w:rsidR="00411D24" w:rsidRPr="006A7CDC">
        <w:rPr>
          <w:color w:val="000000"/>
          <w:sz w:val="22"/>
          <w:szCs w:val="22"/>
          <w:bdr w:val="none" w:sz="0" w:space="0" w:color="auto" w:frame="1"/>
        </w:rPr>
        <w:t>, procuring</w:t>
      </w:r>
      <w:r w:rsidRPr="006A7CDC">
        <w:rPr>
          <w:color w:val="000000"/>
          <w:sz w:val="22"/>
          <w:szCs w:val="22"/>
          <w:bdr w:val="none" w:sz="0" w:space="0" w:color="auto" w:frame="1"/>
        </w:rPr>
        <w:t xml:space="preserve"> and distributing </w:t>
      </w:r>
      <w:r w:rsidR="00374854" w:rsidRPr="006A7CDC">
        <w:rPr>
          <w:color w:val="000000"/>
          <w:sz w:val="22"/>
          <w:szCs w:val="22"/>
          <w:bdr w:val="none" w:sz="0" w:space="0" w:color="auto" w:frame="1"/>
        </w:rPr>
        <w:t>1</w:t>
      </w:r>
      <w:r w:rsidR="00F25B4B" w:rsidRPr="006A7CDC">
        <w:rPr>
          <w:color w:val="000000"/>
          <w:sz w:val="22"/>
          <w:szCs w:val="22"/>
          <w:bdr w:val="none" w:sz="0" w:space="0" w:color="auto" w:frame="1"/>
        </w:rPr>
        <w:t>5</w:t>
      </w:r>
      <w:r w:rsidR="00374854" w:rsidRPr="006A7CDC">
        <w:rPr>
          <w:color w:val="000000"/>
          <w:sz w:val="22"/>
          <w:szCs w:val="22"/>
          <w:bdr w:val="none" w:sz="0" w:space="0" w:color="auto" w:frame="1"/>
        </w:rPr>
        <w:t>,</w:t>
      </w:r>
      <w:r w:rsidR="00F25B4B" w:rsidRPr="006A7CDC">
        <w:rPr>
          <w:color w:val="000000"/>
          <w:sz w:val="22"/>
          <w:szCs w:val="22"/>
          <w:bdr w:val="none" w:sz="0" w:space="0" w:color="auto" w:frame="1"/>
        </w:rPr>
        <w:t>0</w:t>
      </w:r>
      <w:r w:rsidR="00374854" w:rsidRPr="006A7CDC">
        <w:rPr>
          <w:color w:val="000000"/>
          <w:sz w:val="22"/>
          <w:szCs w:val="22"/>
          <w:bdr w:val="none" w:sz="0" w:space="0" w:color="auto" w:frame="1"/>
        </w:rPr>
        <w:t>00</w:t>
      </w:r>
      <w:r w:rsidR="00F25B4B" w:rsidRPr="006A7CDC">
        <w:rPr>
          <w:color w:val="000000"/>
          <w:sz w:val="22"/>
          <w:szCs w:val="22"/>
          <w:bdr w:val="none" w:sz="0" w:space="0" w:color="auto" w:frame="1"/>
        </w:rPr>
        <w:t xml:space="preserve"> </w:t>
      </w:r>
      <w:r w:rsidR="00411D24" w:rsidRPr="006A7CDC">
        <w:rPr>
          <w:color w:val="000000"/>
          <w:sz w:val="22"/>
          <w:szCs w:val="22"/>
          <w:bdr w:val="none" w:sz="0" w:space="0" w:color="auto" w:frame="1"/>
        </w:rPr>
        <w:t xml:space="preserve">COVID-19 </w:t>
      </w:r>
      <w:r w:rsidRPr="006A7CDC">
        <w:rPr>
          <w:color w:val="000000"/>
          <w:sz w:val="22"/>
          <w:szCs w:val="22"/>
          <w:bdr w:val="none" w:sz="0" w:space="0" w:color="auto" w:frame="1"/>
        </w:rPr>
        <w:t>test kits</w:t>
      </w:r>
      <w:r w:rsidR="00411D24" w:rsidRPr="006A7CDC">
        <w:rPr>
          <w:color w:val="000000"/>
          <w:sz w:val="22"/>
          <w:szCs w:val="22"/>
          <w:bdr w:val="none" w:sz="0" w:space="0" w:color="auto" w:frame="1"/>
        </w:rPr>
        <w:t xml:space="preserve"> </w:t>
      </w:r>
      <w:r w:rsidR="00374854" w:rsidRPr="006A7CDC">
        <w:rPr>
          <w:color w:val="000000"/>
          <w:sz w:val="22"/>
          <w:szCs w:val="22"/>
          <w:bdr w:val="none" w:sz="0" w:space="0" w:color="auto" w:frame="1"/>
        </w:rPr>
        <w:t xml:space="preserve">(cepheid cartridges) and 5 </w:t>
      </w:r>
      <w:proofErr w:type="spellStart"/>
      <w:r w:rsidR="00374854" w:rsidRPr="006A7CDC">
        <w:rPr>
          <w:color w:val="000000"/>
          <w:sz w:val="22"/>
          <w:szCs w:val="22"/>
          <w:bdr w:val="none" w:sz="0" w:space="0" w:color="auto" w:frame="1"/>
        </w:rPr>
        <w:t>GenX</w:t>
      </w:r>
      <w:proofErr w:type="spellEnd"/>
      <w:r w:rsidR="00374854" w:rsidRPr="006A7CDC">
        <w:rPr>
          <w:color w:val="000000"/>
          <w:sz w:val="22"/>
          <w:szCs w:val="22"/>
          <w:bdr w:val="none" w:sz="0" w:space="0" w:color="auto" w:frame="1"/>
        </w:rPr>
        <w:t xml:space="preserve"> machines, with a view to equipping</w:t>
      </w:r>
      <w:r w:rsidR="00411D24" w:rsidRPr="006A7CDC">
        <w:rPr>
          <w:color w:val="000000"/>
          <w:sz w:val="22"/>
          <w:szCs w:val="22"/>
          <w:bdr w:val="none" w:sz="0" w:space="0" w:color="auto" w:frame="1"/>
        </w:rPr>
        <w:t xml:space="preserve"> five hospitals </w:t>
      </w:r>
      <w:r w:rsidR="00374854" w:rsidRPr="006A7CDC">
        <w:rPr>
          <w:color w:val="000000"/>
          <w:sz w:val="22"/>
          <w:szCs w:val="22"/>
          <w:bdr w:val="none" w:sz="0" w:space="0" w:color="auto" w:frame="1"/>
        </w:rPr>
        <w:t>designated</w:t>
      </w:r>
      <w:r w:rsidR="00411D24" w:rsidRPr="006A7CDC">
        <w:rPr>
          <w:color w:val="000000"/>
          <w:sz w:val="22"/>
          <w:szCs w:val="22"/>
          <w:bdr w:val="none" w:sz="0" w:space="0" w:color="auto" w:frame="1"/>
        </w:rPr>
        <w:t xml:space="preserve"> for COVID-19 response</w:t>
      </w:r>
      <w:r w:rsidR="0015352E">
        <w:rPr>
          <w:color w:val="000000"/>
          <w:sz w:val="22"/>
          <w:szCs w:val="22"/>
          <w:bdr w:val="none" w:sz="0" w:space="0" w:color="auto" w:frame="1"/>
        </w:rPr>
        <w:t>,</w:t>
      </w:r>
      <w:r w:rsidR="00411D24" w:rsidRPr="006A7CDC">
        <w:rPr>
          <w:color w:val="000000"/>
          <w:sz w:val="22"/>
          <w:szCs w:val="22"/>
          <w:bdr w:val="none" w:sz="0" w:space="0" w:color="auto" w:frame="1"/>
        </w:rPr>
        <w:t xml:space="preserve"> with </w:t>
      </w:r>
      <w:r w:rsidR="00374854" w:rsidRPr="006A7CDC">
        <w:rPr>
          <w:color w:val="000000"/>
          <w:sz w:val="22"/>
          <w:szCs w:val="22"/>
          <w:bdr w:val="none" w:sz="0" w:space="0" w:color="auto" w:frame="1"/>
        </w:rPr>
        <w:t xml:space="preserve">a three-month </w:t>
      </w:r>
      <w:r w:rsidRPr="006A7CDC">
        <w:rPr>
          <w:color w:val="000000"/>
          <w:sz w:val="22"/>
          <w:szCs w:val="22"/>
          <w:bdr w:val="none" w:sz="0" w:space="0" w:color="auto" w:frame="1"/>
        </w:rPr>
        <w:t xml:space="preserve">immediate supply of </w:t>
      </w:r>
      <w:r w:rsidR="00374854" w:rsidRPr="006A7CDC">
        <w:rPr>
          <w:color w:val="000000"/>
          <w:sz w:val="22"/>
          <w:szCs w:val="22"/>
          <w:bdr w:val="none" w:sz="0" w:space="0" w:color="auto" w:frame="1"/>
        </w:rPr>
        <w:t>tests</w:t>
      </w:r>
      <w:r w:rsidR="0015352E">
        <w:rPr>
          <w:color w:val="000000"/>
          <w:sz w:val="22"/>
          <w:szCs w:val="22"/>
          <w:bdr w:val="none" w:sz="0" w:space="0" w:color="auto" w:frame="1"/>
        </w:rPr>
        <w:t>,</w:t>
      </w:r>
      <w:r w:rsidRPr="006A7CDC">
        <w:rPr>
          <w:color w:val="000000"/>
          <w:sz w:val="22"/>
          <w:szCs w:val="22"/>
          <w:bdr w:val="none" w:sz="0" w:space="0" w:color="auto" w:frame="1"/>
        </w:rPr>
        <w:t xml:space="preserve"> </w:t>
      </w:r>
      <w:r w:rsidR="00F25B4B" w:rsidRPr="006A7CDC">
        <w:rPr>
          <w:color w:val="000000"/>
          <w:sz w:val="22"/>
          <w:szCs w:val="22"/>
          <w:bdr w:val="none" w:sz="0" w:space="0" w:color="auto" w:frame="1"/>
        </w:rPr>
        <w:t>and expanding testing capacity to the marginalized South.</w:t>
      </w:r>
    </w:p>
    <w:p w14:paraId="1EBA1FDC" w14:textId="77777777" w:rsidR="00A910C5" w:rsidRPr="006A7CDC" w:rsidRDefault="00A910C5" w:rsidP="006A7CDC">
      <w:pPr>
        <w:ind w:firstLine="720"/>
        <w:jc w:val="both"/>
        <w:rPr>
          <w:i/>
          <w:color w:val="000000"/>
          <w:sz w:val="22"/>
          <w:szCs w:val="22"/>
          <w:bdr w:val="none" w:sz="0" w:space="0" w:color="auto" w:frame="1"/>
        </w:rPr>
      </w:pPr>
      <w:r w:rsidRPr="006A7CDC">
        <w:rPr>
          <w:color w:val="000000"/>
          <w:sz w:val="22"/>
          <w:szCs w:val="22"/>
          <w:bdr w:val="none" w:sz="0" w:space="0" w:color="auto" w:frame="1"/>
        </w:rPr>
        <w:t>Ke</w:t>
      </w:r>
      <w:r w:rsidRPr="006A7CDC">
        <w:rPr>
          <w:i/>
          <w:color w:val="000000"/>
          <w:sz w:val="22"/>
          <w:szCs w:val="22"/>
          <w:bdr w:val="none" w:sz="0" w:space="0" w:color="auto" w:frame="1"/>
        </w:rPr>
        <w:t>y partners: Ministry of Health, WHO, Five designated national hospitals</w:t>
      </w:r>
    </w:p>
    <w:p w14:paraId="6564FE21" w14:textId="77777777" w:rsidR="00C41050" w:rsidRPr="006A7CDC" w:rsidRDefault="00C41050" w:rsidP="006A7CDC">
      <w:pPr>
        <w:ind w:firstLine="720"/>
        <w:jc w:val="both"/>
        <w:rPr>
          <w:i/>
          <w:color w:val="000000"/>
          <w:sz w:val="10"/>
          <w:szCs w:val="10"/>
          <w:bdr w:val="none" w:sz="0" w:space="0" w:color="auto" w:frame="1"/>
        </w:rPr>
      </w:pPr>
    </w:p>
    <w:p w14:paraId="6E763591" w14:textId="71EF764F" w:rsidR="00C41050" w:rsidRPr="006A7CDC" w:rsidRDefault="006E2355" w:rsidP="006A7CDC">
      <w:pPr>
        <w:pStyle w:val="NormalWeb"/>
        <w:spacing w:before="0" w:beforeAutospacing="0" w:after="0" w:afterAutospacing="0"/>
        <w:ind w:firstLine="720"/>
        <w:jc w:val="both"/>
        <w:rPr>
          <w:i/>
          <w:sz w:val="22"/>
          <w:szCs w:val="22"/>
          <w:lang w:val="en-GB"/>
        </w:rPr>
      </w:pPr>
      <w:r w:rsidRPr="005C34A0">
        <w:rPr>
          <w:i/>
          <w:sz w:val="22"/>
          <w:szCs w:val="22"/>
          <w:lang w:val="en-US"/>
        </w:rPr>
        <w:t>RRF budget requested</w:t>
      </w:r>
      <w:r w:rsidR="00C41050" w:rsidRPr="006A7CDC">
        <w:rPr>
          <w:i/>
          <w:sz w:val="22"/>
          <w:szCs w:val="22"/>
          <w:lang w:val="en-GB"/>
        </w:rPr>
        <w:t>: 200,000 USD (</w:t>
      </w:r>
      <w:r w:rsidR="00F25B4B" w:rsidRPr="006A7CDC">
        <w:rPr>
          <w:i/>
          <w:sz w:val="22"/>
          <w:szCs w:val="22"/>
          <w:lang w:val="en-GB"/>
        </w:rPr>
        <w:t xml:space="preserve">plus </w:t>
      </w:r>
      <w:r w:rsidR="00B35599" w:rsidRPr="006A7CDC">
        <w:rPr>
          <w:i/>
          <w:sz w:val="22"/>
          <w:szCs w:val="22"/>
          <w:lang w:val="en-GB"/>
        </w:rPr>
        <w:t>20</w:t>
      </w:r>
      <w:r w:rsidR="00F25B4B" w:rsidRPr="006A7CDC">
        <w:rPr>
          <w:i/>
          <w:sz w:val="22"/>
          <w:szCs w:val="22"/>
          <w:lang w:val="en-GB"/>
        </w:rPr>
        <w:t>0K</w:t>
      </w:r>
      <w:r w:rsidR="0015352E">
        <w:rPr>
          <w:i/>
          <w:sz w:val="22"/>
          <w:szCs w:val="22"/>
          <w:lang w:val="en-GB"/>
        </w:rPr>
        <w:t>USD</w:t>
      </w:r>
      <w:r w:rsidR="00F25B4B" w:rsidRPr="006A7CDC">
        <w:rPr>
          <w:i/>
          <w:sz w:val="22"/>
          <w:szCs w:val="22"/>
          <w:lang w:val="en-GB"/>
        </w:rPr>
        <w:t xml:space="preserve"> </w:t>
      </w:r>
      <w:r w:rsidR="00C41050" w:rsidRPr="006A7CDC">
        <w:rPr>
          <w:i/>
          <w:sz w:val="22"/>
          <w:szCs w:val="22"/>
          <w:lang w:val="en-GB"/>
        </w:rPr>
        <w:t xml:space="preserve">to be complemented by existing UNDP projects) </w:t>
      </w:r>
    </w:p>
    <w:p w14:paraId="47F1E600" w14:textId="77777777" w:rsidR="00A910C5" w:rsidRPr="006A7CDC" w:rsidRDefault="00A910C5" w:rsidP="006A7CDC">
      <w:pPr>
        <w:jc w:val="both"/>
        <w:rPr>
          <w:color w:val="000000"/>
          <w:sz w:val="22"/>
          <w:szCs w:val="22"/>
          <w:bdr w:val="none" w:sz="0" w:space="0" w:color="auto" w:frame="1"/>
        </w:rPr>
      </w:pPr>
      <w:r w:rsidRPr="006A7CDC">
        <w:rPr>
          <w:color w:val="000000"/>
          <w:sz w:val="22"/>
          <w:szCs w:val="22"/>
          <w:bdr w:val="none" w:sz="0" w:space="0" w:color="auto" w:frame="1"/>
        </w:rPr>
        <w:t xml:space="preserve"> </w:t>
      </w:r>
    </w:p>
    <w:p w14:paraId="26115E40" w14:textId="124E8604" w:rsidR="00EA4694" w:rsidRPr="00905357" w:rsidRDefault="00A910C5" w:rsidP="006A7CDC">
      <w:pPr>
        <w:numPr>
          <w:ilvl w:val="0"/>
          <w:numId w:val="35"/>
        </w:numPr>
        <w:jc w:val="both"/>
        <w:rPr>
          <w:color w:val="000000"/>
          <w:sz w:val="22"/>
          <w:szCs w:val="22"/>
          <w:bdr w:val="none" w:sz="0" w:space="0" w:color="auto" w:frame="1"/>
        </w:rPr>
      </w:pPr>
      <w:r w:rsidRPr="006A7CDC">
        <w:rPr>
          <w:b/>
          <w:bCs/>
          <w:color w:val="000000"/>
          <w:sz w:val="22"/>
          <w:szCs w:val="22"/>
          <w:bdr w:val="none" w:sz="0" w:space="0" w:color="auto" w:frame="1"/>
        </w:rPr>
        <w:t>Activity 1.</w:t>
      </w:r>
      <w:r w:rsidRPr="00905357">
        <w:rPr>
          <w:b/>
          <w:bCs/>
          <w:color w:val="000000"/>
          <w:sz w:val="22"/>
          <w:szCs w:val="22"/>
          <w:bdr w:val="none" w:sz="0" w:space="0" w:color="auto" w:frame="1"/>
        </w:rPr>
        <w:t>2:</w:t>
      </w:r>
      <w:r w:rsidRPr="00905357">
        <w:rPr>
          <w:color w:val="000000"/>
          <w:sz w:val="22"/>
          <w:szCs w:val="22"/>
          <w:bdr w:val="none" w:sz="0" w:space="0" w:color="auto" w:frame="1"/>
        </w:rPr>
        <w:t xml:space="preserve"> Providing support for local young entrepreneurs/innovators engaged in innovative activities aimed at addressing the spread of COVID-19</w:t>
      </w:r>
      <w:r w:rsidR="00EB60EB" w:rsidRPr="00905357">
        <w:rPr>
          <w:color w:val="000000"/>
          <w:sz w:val="22"/>
          <w:szCs w:val="22"/>
          <w:bdr w:val="none" w:sz="0" w:space="0" w:color="auto" w:frame="1"/>
        </w:rPr>
        <w:t xml:space="preserve">. Below </w:t>
      </w:r>
      <w:r w:rsidR="00BF224A" w:rsidRPr="00905357">
        <w:rPr>
          <w:color w:val="000000"/>
          <w:sz w:val="22"/>
          <w:szCs w:val="22"/>
          <w:bdr w:val="none" w:sz="0" w:space="0" w:color="auto" w:frame="1"/>
        </w:rPr>
        <w:t xml:space="preserve">are </w:t>
      </w:r>
      <w:r w:rsidR="003150D1" w:rsidRPr="00905357">
        <w:rPr>
          <w:color w:val="000000"/>
          <w:sz w:val="22"/>
          <w:szCs w:val="22"/>
          <w:bdr w:val="none" w:sz="0" w:space="0" w:color="auto" w:frame="1"/>
        </w:rPr>
        <w:t>a couple indicative solutions to be potentially supported under this activity, which UNDP is already in the process of exploring with partners</w:t>
      </w:r>
      <w:r w:rsidR="00EA4694" w:rsidRPr="00905357">
        <w:rPr>
          <w:color w:val="000000"/>
          <w:sz w:val="22"/>
          <w:szCs w:val="22"/>
          <w:bdr w:val="none" w:sz="0" w:space="0" w:color="auto" w:frame="1"/>
        </w:rPr>
        <w:t>:</w:t>
      </w:r>
    </w:p>
    <w:p w14:paraId="03598556" w14:textId="77777777" w:rsidR="0080633C" w:rsidRPr="00905357" w:rsidRDefault="0080633C" w:rsidP="006A7CDC">
      <w:pPr>
        <w:ind w:left="720"/>
        <w:jc w:val="both"/>
        <w:rPr>
          <w:color w:val="000000"/>
          <w:sz w:val="10"/>
          <w:szCs w:val="10"/>
          <w:bdr w:val="none" w:sz="0" w:space="0" w:color="auto" w:frame="1"/>
        </w:rPr>
      </w:pPr>
    </w:p>
    <w:p w14:paraId="1C5CDDAE" w14:textId="0241960F" w:rsidR="0080633C" w:rsidRPr="006A7CDC" w:rsidRDefault="00EA4694" w:rsidP="006A7CDC">
      <w:pPr>
        <w:numPr>
          <w:ilvl w:val="1"/>
          <w:numId w:val="35"/>
        </w:numPr>
        <w:jc w:val="both"/>
        <w:rPr>
          <w:color w:val="000000"/>
          <w:sz w:val="22"/>
          <w:szCs w:val="22"/>
          <w:bdr w:val="none" w:sz="0" w:space="0" w:color="auto" w:frame="1"/>
        </w:rPr>
      </w:pPr>
      <w:r w:rsidRPr="00905357">
        <w:rPr>
          <w:color w:val="000000"/>
          <w:sz w:val="22"/>
          <w:szCs w:val="22"/>
          <w:bdr w:val="none" w:sz="0" w:space="0" w:color="auto" w:frame="1"/>
        </w:rPr>
        <w:t>D</w:t>
      </w:r>
      <w:r w:rsidR="00A910C5" w:rsidRPr="00905357">
        <w:rPr>
          <w:color w:val="000000"/>
          <w:sz w:val="22"/>
          <w:szCs w:val="22"/>
          <w:bdr w:val="none" w:sz="0" w:space="0" w:color="auto" w:frame="1"/>
        </w:rPr>
        <w:t xml:space="preserve">eveloping an application to set up </w:t>
      </w:r>
      <w:r w:rsidRPr="00905357">
        <w:rPr>
          <w:color w:val="000000"/>
          <w:sz w:val="22"/>
          <w:szCs w:val="22"/>
          <w:bdr w:val="none" w:sz="0" w:space="0" w:color="auto" w:frame="1"/>
        </w:rPr>
        <w:t xml:space="preserve">a </w:t>
      </w:r>
      <w:r w:rsidRPr="00905357">
        <w:rPr>
          <w:b/>
          <w:bCs/>
          <w:color w:val="000000"/>
          <w:sz w:val="22"/>
          <w:szCs w:val="22"/>
          <w:bdr w:val="none" w:sz="0" w:space="0" w:color="auto" w:frame="1"/>
        </w:rPr>
        <w:t>T</w:t>
      </w:r>
      <w:r w:rsidR="00A910C5" w:rsidRPr="00905357">
        <w:rPr>
          <w:b/>
          <w:bCs/>
          <w:color w:val="000000"/>
          <w:sz w:val="22"/>
          <w:szCs w:val="22"/>
          <w:bdr w:val="none" w:sz="0" w:space="0" w:color="auto" w:frame="1"/>
        </w:rPr>
        <w:t>elemedicine system</w:t>
      </w:r>
      <w:r w:rsidR="00A910C5" w:rsidRPr="00905357">
        <w:rPr>
          <w:color w:val="000000"/>
          <w:sz w:val="22"/>
          <w:szCs w:val="22"/>
          <w:bdr w:val="none" w:sz="0" w:space="0" w:color="auto" w:frame="1"/>
        </w:rPr>
        <w:t xml:space="preserve"> for remote diagnosis of vulnerable populations</w:t>
      </w:r>
      <w:r w:rsidRPr="00905357">
        <w:rPr>
          <w:color w:val="000000"/>
          <w:sz w:val="22"/>
          <w:szCs w:val="22"/>
          <w:bdr w:val="none" w:sz="0" w:space="0" w:color="auto" w:frame="1"/>
        </w:rPr>
        <w:t xml:space="preserve"> by doctors</w:t>
      </w:r>
      <w:r w:rsidR="00A910C5" w:rsidRPr="00905357">
        <w:rPr>
          <w:color w:val="000000"/>
          <w:sz w:val="22"/>
          <w:szCs w:val="22"/>
          <w:bdr w:val="none" w:sz="0" w:space="0" w:color="auto" w:frame="1"/>
        </w:rPr>
        <w:t>, especially women and migrants, in hard to reach areas</w:t>
      </w:r>
      <w:r w:rsidR="00B0033B" w:rsidRPr="00905357">
        <w:rPr>
          <w:color w:val="000000"/>
          <w:sz w:val="22"/>
          <w:szCs w:val="22"/>
          <w:bdr w:val="none" w:sz="0" w:space="0" w:color="auto" w:frame="1"/>
        </w:rPr>
        <w:t xml:space="preserve">. UNDP will work with </w:t>
      </w:r>
      <w:r w:rsidR="00626A5D" w:rsidRPr="00905357">
        <w:rPr>
          <w:color w:val="000000"/>
          <w:sz w:val="22"/>
          <w:szCs w:val="22"/>
          <w:bdr w:val="none" w:sz="0" w:space="0" w:color="auto" w:frame="1"/>
        </w:rPr>
        <w:t xml:space="preserve">the </w:t>
      </w:r>
      <w:r w:rsidR="006A7CDC" w:rsidRPr="00905357">
        <w:rPr>
          <w:b/>
          <w:bCs/>
          <w:color w:val="000000"/>
          <w:sz w:val="22"/>
          <w:szCs w:val="22"/>
          <w:bdr w:val="none" w:sz="0" w:space="0" w:color="auto" w:frame="1"/>
        </w:rPr>
        <w:t>Accelerator</w:t>
      </w:r>
      <w:r w:rsidR="00626A5D" w:rsidRPr="00905357">
        <w:rPr>
          <w:b/>
          <w:bCs/>
          <w:color w:val="000000"/>
          <w:sz w:val="22"/>
          <w:szCs w:val="22"/>
          <w:bdr w:val="none" w:sz="0" w:space="0" w:color="auto" w:frame="1"/>
        </w:rPr>
        <w:t xml:space="preserve"> Lab</w:t>
      </w:r>
      <w:r w:rsidR="00626A5D" w:rsidRPr="00905357">
        <w:rPr>
          <w:color w:val="000000"/>
          <w:sz w:val="22"/>
          <w:szCs w:val="22"/>
          <w:bdr w:val="none" w:sz="0" w:space="0" w:color="auto" w:frame="1"/>
        </w:rPr>
        <w:t xml:space="preserve"> and </w:t>
      </w:r>
      <w:r w:rsidR="00B0033B" w:rsidRPr="00905357">
        <w:rPr>
          <w:color w:val="000000"/>
          <w:sz w:val="22"/>
          <w:szCs w:val="22"/>
          <w:bdr w:val="none" w:sz="0" w:space="0" w:color="auto" w:frame="1"/>
        </w:rPr>
        <w:t>young innovators and entrepreneurs, Saxion University of Applied Sciences</w:t>
      </w:r>
      <w:r w:rsidR="00754230" w:rsidRPr="00905357">
        <w:rPr>
          <w:color w:val="000000"/>
          <w:sz w:val="22"/>
          <w:szCs w:val="22"/>
          <w:bdr w:val="none" w:sz="0" w:space="0" w:color="auto" w:frame="1"/>
        </w:rPr>
        <w:t xml:space="preserve"> (on app development) and the</w:t>
      </w:r>
      <w:r w:rsidR="00B0033B" w:rsidRPr="00905357">
        <w:rPr>
          <w:color w:val="000000"/>
          <w:sz w:val="22"/>
          <w:szCs w:val="22"/>
          <w:bdr w:val="none" w:sz="0" w:space="0" w:color="auto" w:frame="1"/>
        </w:rPr>
        <w:t xml:space="preserve"> </w:t>
      </w:r>
      <w:r w:rsidR="00754230" w:rsidRPr="00905357">
        <w:rPr>
          <w:color w:val="000000"/>
          <w:sz w:val="22"/>
          <w:szCs w:val="22"/>
          <w:bdr w:val="none" w:sz="0" w:space="0" w:color="auto" w:frame="1"/>
        </w:rPr>
        <w:t>Libyan</w:t>
      </w:r>
      <w:r w:rsidR="00B0033B" w:rsidRPr="00905357">
        <w:rPr>
          <w:color w:val="000000"/>
          <w:sz w:val="22"/>
          <w:szCs w:val="22"/>
          <w:bdr w:val="none" w:sz="0" w:space="0" w:color="auto" w:frame="1"/>
        </w:rPr>
        <w:t xml:space="preserve"> Ministry of Health </w:t>
      </w:r>
      <w:r w:rsidR="00754230" w:rsidRPr="00905357">
        <w:rPr>
          <w:color w:val="000000"/>
          <w:sz w:val="22"/>
          <w:szCs w:val="22"/>
          <w:bdr w:val="none" w:sz="0" w:space="0" w:color="auto" w:frame="1"/>
        </w:rPr>
        <w:t>(to build a</w:t>
      </w:r>
      <w:r w:rsidR="00B0033B" w:rsidRPr="00905357">
        <w:rPr>
          <w:color w:val="000000"/>
          <w:sz w:val="22"/>
          <w:szCs w:val="22"/>
          <w:bdr w:val="none" w:sz="0" w:space="0" w:color="auto" w:frame="1"/>
        </w:rPr>
        <w:t xml:space="preserve"> network of hospitals as well as municipalities </w:t>
      </w:r>
      <w:r w:rsidR="00754230" w:rsidRPr="00905357">
        <w:rPr>
          <w:color w:val="000000"/>
          <w:sz w:val="22"/>
          <w:szCs w:val="22"/>
          <w:bdr w:val="none" w:sz="0" w:space="0" w:color="auto" w:frame="1"/>
        </w:rPr>
        <w:t>that can help pilot and raise awareness about the app and its uses)</w:t>
      </w:r>
      <w:r w:rsidR="00B0033B" w:rsidRPr="00905357">
        <w:rPr>
          <w:color w:val="000000"/>
          <w:sz w:val="22"/>
          <w:szCs w:val="22"/>
          <w:bdr w:val="none" w:sz="0" w:space="0" w:color="auto" w:frame="1"/>
        </w:rPr>
        <w:t xml:space="preserve">. </w:t>
      </w:r>
      <w:r w:rsidR="00B73759" w:rsidRPr="00905357">
        <w:rPr>
          <w:color w:val="000000"/>
          <w:sz w:val="22"/>
          <w:szCs w:val="22"/>
          <w:bdr w:val="none" w:sz="0" w:space="0" w:color="auto" w:frame="1"/>
        </w:rPr>
        <w:t xml:space="preserve">Risk mitigation measures will be </w:t>
      </w:r>
      <w:r w:rsidR="00147883" w:rsidRPr="00905357">
        <w:rPr>
          <w:color w:val="000000"/>
          <w:sz w:val="22"/>
          <w:szCs w:val="22"/>
          <w:bdr w:val="none" w:sz="0" w:space="0" w:color="auto" w:frame="1"/>
        </w:rPr>
        <w:t>developed</w:t>
      </w:r>
      <w:r w:rsidR="00B73759" w:rsidRPr="00905357">
        <w:rPr>
          <w:color w:val="000000"/>
          <w:sz w:val="22"/>
          <w:szCs w:val="22"/>
          <w:bdr w:val="none" w:sz="0" w:space="0" w:color="auto" w:frame="1"/>
        </w:rPr>
        <w:t xml:space="preserve"> and taken</w:t>
      </w:r>
      <w:r w:rsidR="00FC26C4" w:rsidRPr="00905357">
        <w:rPr>
          <w:color w:val="000000"/>
          <w:sz w:val="22"/>
          <w:szCs w:val="22"/>
          <w:bdr w:val="none" w:sz="0" w:space="0" w:color="auto" w:frame="1"/>
        </w:rPr>
        <w:t xml:space="preserve"> as many women and migrants might not have access to smart phones. </w:t>
      </w:r>
      <w:r w:rsidR="00DD7065" w:rsidRPr="00905357">
        <w:rPr>
          <w:color w:val="000000"/>
          <w:sz w:val="22"/>
          <w:szCs w:val="22"/>
          <w:bdr w:val="none" w:sz="0" w:space="0" w:color="auto" w:frame="1"/>
        </w:rPr>
        <w:t xml:space="preserve">The project will have a pilot where women, migrants and other vulnerable populations will be included. </w:t>
      </w:r>
      <w:r w:rsidR="009D43F4" w:rsidRPr="00905357">
        <w:rPr>
          <w:color w:val="000000"/>
          <w:sz w:val="22"/>
          <w:szCs w:val="22"/>
          <w:bdr w:val="none" w:sz="0" w:space="0" w:color="auto" w:frame="1"/>
        </w:rPr>
        <w:t xml:space="preserve">As pre-discussed with Saxion University, their contribution of creation </w:t>
      </w:r>
      <w:r w:rsidR="009D43F4" w:rsidRPr="00905357">
        <w:rPr>
          <w:color w:val="000000"/>
          <w:sz w:val="22"/>
          <w:szCs w:val="22"/>
          <w:bdr w:val="none" w:sz="0" w:space="0" w:color="auto" w:frame="1"/>
        </w:rPr>
        <w:lastRenderedPageBreak/>
        <w:t xml:space="preserve">of the app will be voluntary and all the intellectual property rights will remain with UNDP. </w:t>
      </w:r>
      <w:r w:rsidR="00B0033B" w:rsidRPr="00905357">
        <w:rPr>
          <w:color w:val="000000"/>
          <w:sz w:val="22"/>
          <w:szCs w:val="22"/>
          <w:bdr w:val="none" w:sz="0" w:space="0" w:color="auto" w:frame="1"/>
        </w:rPr>
        <w:t xml:space="preserve">This initiative has </w:t>
      </w:r>
      <w:r w:rsidR="0080633C" w:rsidRPr="00905357">
        <w:rPr>
          <w:color w:val="000000"/>
          <w:sz w:val="22"/>
          <w:szCs w:val="22"/>
          <w:bdr w:val="none" w:sz="0" w:space="0" w:color="auto" w:frame="1"/>
        </w:rPr>
        <w:t>the</w:t>
      </w:r>
      <w:r w:rsidR="00B0033B" w:rsidRPr="00905357">
        <w:rPr>
          <w:color w:val="000000"/>
          <w:sz w:val="22"/>
          <w:szCs w:val="22"/>
          <w:bdr w:val="none" w:sz="0" w:space="0" w:color="auto" w:frame="1"/>
        </w:rPr>
        <w:t xml:space="preserve"> potential to </w:t>
      </w:r>
      <w:r w:rsidR="0080633C" w:rsidRPr="00905357">
        <w:rPr>
          <w:color w:val="000000"/>
          <w:sz w:val="22"/>
          <w:szCs w:val="22"/>
          <w:bdr w:val="none" w:sz="0" w:space="0" w:color="auto" w:frame="1"/>
        </w:rPr>
        <w:t>attract</w:t>
      </w:r>
      <w:r w:rsidR="00B0033B" w:rsidRPr="00905357">
        <w:rPr>
          <w:color w:val="000000"/>
          <w:sz w:val="22"/>
          <w:szCs w:val="22"/>
          <w:bdr w:val="none" w:sz="0" w:space="0" w:color="auto" w:frame="1"/>
        </w:rPr>
        <w:t xml:space="preserve"> private sector </w:t>
      </w:r>
      <w:r w:rsidR="0080633C" w:rsidRPr="00905357">
        <w:rPr>
          <w:color w:val="000000"/>
          <w:sz w:val="22"/>
          <w:szCs w:val="22"/>
          <w:bdr w:val="none" w:sz="0" w:space="0" w:color="auto" w:frame="1"/>
        </w:rPr>
        <w:t xml:space="preserve">partners and </w:t>
      </w:r>
      <w:r w:rsidR="00B0033B" w:rsidRPr="00905357">
        <w:rPr>
          <w:color w:val="000000"/>
          <w:sz w:val="22"/>
          <w:szCs w:val="22"/>
          <w:bdr w:val="none" w:sz="0" w:space="0" w:color="auto" w:frame="1"/>
        </w:rPr>
        <w:t>become</w:t>
      </w:r>
      <w:r w:rsidR="00B0033B" w:rsidRPr="006A7CDC">
        <w:rPr>
          <w:color w:val="000000"/>
          <w:sz w:val="22"/>
          <w:szCs w:val="22"/>
          <w:bdr w:val="none" w:sz="0" w:space="0" w:color="auto" w:frame="1"/>
        </w:rPr>
        <w:t xml:space="preserve"> a private-public partnership initiative</w:t>
      </w:r>
      <w:r w:rsidR="0080633C" w:rsidRPr="006A7CDC">
        <w:rPr>
          <w:color w:val="000000"/>
          <w:sz w:val="22"/>
          <w:szCs w:val="22"/>
          <w:bdr w:val="none" w:sz="0" w:space="0" w:color="auto" w:frame="1"/>
        </w:rPr>
        <w:t>, for example by involving telecommunications</w:t>
      </w:r>
      <w:r w:rsidR="00B0033B" w:rsidRPr="006A7CDC">
        <w:rPr>
          <w:color w:val="000000"/>
          <w:sz w:val="22"/>
          <w:szCs w:val="22"/>
          <w:bdr w:val="none" w:sz="0" w:space="0" w:color="auto" w:frame="1"/>
        </w:rPr>
        <w:t xml:space="preserve"> companies</w:t>
      </w:r>
      <w:r w:rsidR="0080633C" w:rsidRPr="006A7CDC">
        <w:rPr>
          <w:color w:val="000000"/>
          <w:sz w:val="22"/>
          <w:szCs w:val="22"/>
          <w:bdr w:val="none" w:sz="0" w:space="0" w:color="auto" w:frame="1"/>
        </w:rPr>
        <w:t xml:space="preserve"> and bank</w:t>
      </w:r>
      <w:r w:rsidR="005F5CD6" w:rsidRPr="006A7CDC">
        <w:rPr>
          <w:color w:val="000000"/>
          <w:sz w:val="22"/>
          <w:szCs w:val="22"/>
          <w:bdr w:val="none" w:sz="0" w:space="0" w:color="auto" w:frame="1"/>
        </w:rPr>
        <w:t>s</w:t>
      </w:r>
      <w:r w:rsidR="08741E5B" w:rsidRPr="6FB26674">
        <w:rPr>
          <w:color w:val="000000" w:themeColor="text1"/>
          <w:sz w:val="22"/>
          <w:szCs w:val="22"/>
        </w:rPr>
        <w:t xml:space="preserve"> </w:t>
      </w:r>
    </w:p>
    <w:p w14:paraId="31B120D9" w14:textId="77777777" w:rsidR="00EA4694" w:rsidRPr="006A7CDC" w:rsidRDefault="00EA4694" w:rsidP="006A7CDC">
      <w:pPr>
        <w:ind w:left="1440"/>
        <w:jc w:val="both"/>
        <w:rPr>
          <w:color w:val="000000"/>
          <w:sz w:val="10"/>
          <w:szCs w:val="10"/>
          <w:bdr w:val="none" w:sz="0" w:space="0" w:color="auto" w:frame="1"/>
        </w:rPr>
      </w:pPr>
    </w:p>
    <w:p w14:paraId="7345E6FE" w14:textId="77777777" w:rsidR="0017058F" w:rsidRPr="00905357" w:rsidRDefault="0017058F" w:rsidP="006A7CDC">
      <w:pPr>
        <w:ind w:left="1440"/>
        <w:jc w:val="both"/>
        <w:rPr>
          <w:i/>
          <w:color w:val="000000"/>
          <w:sz w:val="22"/>
          <w:szCs w:val="22"/>
          <w:bdr w:val="none" w:sz="0" w:space="0" w:color="auto" w:frame="1"/>
        </w:rPr>
      </w:pPr>
      <w:r w:rsidRPr="00905357">
        <w:rPr>
          <w:i/>
          <w:color w:val="000000"/>
          <w:sz w:val="22"/>
          <w:szCs w:val="22"/>
          <w:bdr w:val="none" w:sz="0" w:space="0" w:color="auto" w:frame="1"/>
        </w:rPr>
        <w:t>Key partners: Ministry of Health, Saxion University of Applied Sciences</w:t>
      </w:r>
      <w:r w:rsidR="00F77703" w:rsidRPr="00905357">
        <w:rPr>
          <w:i/>
          <w:color w:val="000000"/>
          <w:sz w:val="22"/>
          <w:szCs w:val="22"/>
          <w:bdr w:val="none" w:sz="0" w:space="0" w:color="auto" w:frame="1"/>
        </w:rPr>
        <w:t xml:space="preserve"> (Netherlands)</w:t>
      </w:r>
      <w:r w:rsidRPr="00905357">
        <w:rPr>
          <w:i/>
          <w:color w:val="000000"/>
          <w:sz w:val="22"/>
          <w:szCs w:val="22"/>
          <w:bdr w:val="none" w:sz="0" w:space="0" w:color="auto" w:frame="1"/>
        </w:rPr>
        <w:t>, WHO, National Hospitals, Libyan National Robotics Team</w:t>
      </w:r>
      <w:r w:rsidR="005F5CD6" w:rsidRPr="00905357">
        <w:rPr>
          <w:i/>
          <w:color w:val="000000"/>
          <w:sz w:val="22"/>
          <w:szCs w:val="22"/>
          <w:bdr w:val="none" w:sz="0" w:space="0" w:color="auto" w:frame="1"/>
        </w:rPr>
        <w:t>, private sector</w:t>
      </w:r>
    </w:p>
    <w:p w14:paraId="5BBB8706" w14:textId="77777777" w:rsidR="0017058F" w:rsidRPr="00905357" w:rsidRDefault="0017058F" w:rsidP="006A7CDC">
      <w:pPr>
        <w:ind w:left="1440"/>
        <w:jc w:val="both"/>
        <w:rPr>
          <w:color w:val="000000"/>
          <w:sz w:val="10"/>
          <w:szCs w:val="10"/>
          <w:bdr w:val="none" w:sz="0" w:space="0" w:color="auto" w:frame="1"/>
        </w:rPr>
      </w:pPr>
    </w:p>
    <w:p w14:paraId="4437C89F" w14:textId="697806C4" w:rsidR="00424917" w:rsidRPr="00905357" w:rsidRDefault="00EA4694" w:rsidP="006A7CDC">
      <w:pPr>
        <w:numPr>
          <w:ilvl w:val="1"/>
          <w:numId w:val="35"/>
        </w:numPr>
        <w:jc w:val="both"/>
        <w:rPr>
          <w:color w:val="000000"/>
          <w:sz w:val="22"/>
          <w:szCs w:val="22"/>
          <w:bdr w:val="none" w:sz="0" w:space="0" w:color="auto" w:frame="1"/>
        </w:rPr>
      </w:pPr>
      <w:r w:rsidRPr="00905357">
        <w:rPr>
          <w:color w:val="000000"/>
          <w:sz w:val="22"/>
          <w:szCs w:val="22"/>
          <w:bdr w:val="none" w:sz="0" w:space="0" w:color="auto" w:frame="1"/>
        </w:rPr>
        <w:t xml:space="preserve">Supporting </w:t>
      </w:r>
      <w:r w:rsidR="00424917" w:rsidRPr="00905357">
        <w:rPr>
          <w:color w:val="000000"/>
          <w:sz w:val="22"/>
          <w:szCs w:val="22"/>
          <w:bdr w:val="none" w:sz="0" w:space="0" w:color="auto" w:frame="1"/>
        </w:rPr>
        <w:t xml:space="preserve">the </w:t>
      </w:r>
      <w:r w:rsidRPr="00905357">
        <w:rPr>
          <w:b/>
          <w:bCs/>
          <w:color w:val="000000"/>
          <w:sz w:val="22"/>
          <w:szCs w:val="22"/>
          <w:bdr w:val="none" w:sz="0" w:space="0" w:color="auto" w:frame="1"/>
        </w:rPr>
        <w:t>Lybotics</w:t>
      </w:r>
      <w:r w:rsidRPr="00905357">
        <w:rPr>
          <w:sz w:val="22"/>
          <w:szCs w:val="22"/>
        </w:rPr>
        <w:t xml:space="preserve"> (Libyan National Robotics Team) in 3D printing of PPE equipment, i.e., </w:t>
      </w:r>
      <w:r w:rsidR="00424917" w:rsidRPr="00905357">
        <w:rPr>
          <w:sz w:val="22"/>
          <w:szCs w:val="22"/>
        </w:rPr>
        <w:t>f</w:t>
      </w:r>
      <w:r w:rsidRPr="00905357">
        <w:rPr>
          <w:sz w:val="22"/>
          <w:szCs w:val="22"/>
        </w:rPr>
        <w:t xml:space="preserve">ace </w:t>
      </w:r>
      <w:r w:rsidR="00424917" w:rsidRPr="00905357">
        <w:rPr>
          <w:sz w:val="22"/>
          <w:szCs w:val="22"/>
        </w:rPr>
        <w:t>s</w:t>
      </w:r>
      <w:r w:rsidRPr="00905357">
        <w:rPr>
          <w:sz w:val="22"/>
          <w:szCs w:val="22"/>
        </w:rPr>
        <w:t xml:space="preserve">hields. </w:t>
      </w:r>
      <w:r w:rsidR="00424917" w:rsidRPr="00905357">
        <w:rPr>
          <w:sz w:val="22"/>
          <w:szCs w:val="22"/>
        </w:rPr>
        <w:t>UNDP will provide a</w:t>
      </w:r>
      <w:r w:rsidRPr="00905357">
        <w:rPr>
          <w:sz w:val="22"/>
          <w:szCs w:val="22"/>
        </w:rPr>
        <w:t>dditional printers and raw materials (filaments)</w:t>
      </w:r>
      <w:r w:rsidR="00424917" w:rsidRPr="00905357">
        <w:rPr>
          <w:sz w:val="22"/>
          <w:szCs w:val="22"/>
        </w:rPr>
        <w:t xml:space="preserve">, </w:t>
      </w:r>
      <w:r w:rsidR="00117110" w:rsidRPr="00905357">
        <w:rPr>
          <w:sz w:val="22"/>
          <w:szCs w:val="22"/>
        </w:rPr>
        <w:t>mainly prioritizing local sourcing</w:t>
      </w:r>
      <w:r w:rsidR="00F12476" w:rsidRPr="00905357">
        <w:rPr>
          <w:sz w:val="22"/>
          <w:szCs w:val="22"/>
        </w:rPr>
        <w:t xml:space="preserve"> (UNDP has already mapping the local producers) </w:t>
      </w:r>
      <w:r w:rsidR="00117110" w:rsidRPr="00905357">
        <w:rPr>
          <w:sz w:val="22"/>
          <w:szCs w:val="22"/>
        </w:rPr>
        <w:t xml:space="preserve">, </w:t>
      </w:r>
      <w:r w:rsidR="00424917" w:rsidRPr="00905357">
        <w:rPr>
          <w:sz w:val="22"/>
          <w:szCs w:val="22"/>
        </w:rPr>
        <w:t xml:space="preserve">and work </w:t>
      </w:r>
      <w:r w:rsidRPr="00905357">
        <w:rPr>
          <w:sz w:val="22"/>
          <w:szCs w:val="22"/>
        </w:rPr>
        <w:t xml:space="preserve">with Ministry of Health to determine needs </w:t>
      </w:r>
      <w:r w:rsidR="00424917" w:rsidRPr="00905357">
        <w:rPr>
          <w:sz w:val="22"/>
          <w:szCs w:val="22"/>
        </w:rPr>
        <w:t xml:space="preserve">and </w:t>
      </w:r>
      <w:r w:rsidRPr="00905357">
        <w:rPr>
          <w:sz w:val="22"/>
          <w:szCs w:val="22"/>
        </w:rPr>
        <w:t>guide scale of production.</w:t>
      </w:r>
      <w:r w:rsidR="009D43F4" w:rsidRPr="00905357">
        <w:rPr>
          <w:sz w:val="22"/>
          <w:szCs w:val="22"/>
        </w:rPr>
        <w:t xml:space="preserve"> Employment creation, especially for women, will be prioritized if/when there is an opportunity. </w:t>
      </w:r>
      <w:r w:rsidRPr="00905357">
        <w:rPr>
          <w:sz w:val="22"/>
          <w:szCs w:val="22"/>
        </w:rPr>
        <w:t xml:space="preserve"> </w:t>
      </w:r>
    </w:p>
    <w:p w14:paraId="2B1854A1" w14:textId="77777777" w:rsidR="00424917" w:rsidRPr="00905357" w:rsidRDefault="00424917" w:rsidP="006A7CDC">
      <w:pPr>
        <w:jc w:val="both"/>
        <w:rPr>
          <w:sz w:val="10"/>
          <w:szCs w:val="10"/>
        </w:rPr>
      </w:pPr>
    </w:p>
    <w:p w14:paraId="5F73684C" w14:textId="0410F9FC" w:rsidR="0017058F" w:rsidRPr="00905357" w:rsidRDefault="0017058F" w:rsidP="006A7CDC">
      <w:pPr>
        <w:ind w:left="1440"/>
        <w:jc w:val="both"/>
        <w:rPr>
          <w:i/>
          <w:color w:val="000000"/>
          <w:sz w:val="22"/>
          <w:szCs w:val="22"/>
          <w:bdr w:val="none" w:sz="0" w:space="0" w:color="auto" w:frame="1"/>
        </w:rPr>
      </w:pPr>
      <w:bookmarkStart w:id="6" w:name="_Hlk37294845"/>
      <w:r w:rsidRPr="00905357">
        <w:rPr>
          <w:i/>
          <w:color w:val="000000"/>
          <w:sz w:val="22"/>
          <w:szCs w:val="22"/>
          <w:bdr w:val="none" w:sz="0" w:space="0" w:color="auto" w:frame="1"/>
        </w:rPr>
        <w:t>Key partners: Ministry of Health, WHO, Tripoli University, National Hospitals, Libyan National Robotics Team</w:t>
      </w:r>
      <w:r w:rsidR="00A9768B" w:rsidRPr="00905357">
        <w:rPr>
          <w:i/>
          <w:color w:val="000000"/>
          <w:sz w:val="22"/>
          <w:szCs w:val="22"/>
          <w:bdr w:val="none" w:sz="0" w:space="0" w:color="auto" w:frame="1"/>
        </w:rPr>
        <w:t>.</w:t>
      </w:r>
    </w:p>
    <w:bookmarkEnd w:id="6"/>
    <w:p w14:paraId="69751435" w14:textId="77777777" w:rsidR="005F5CD6" w:rsidRPr="00905357" w:rsidRDefault="005F5CD6" w:rsidP="006A7CDC">
      <w:pPr>
        <w:ind w:left="720"/>
        <w:jc w:val="both"/>
        <w:rPr>
          <w:sz w:val="22"/>
          <w:szCs w:val="22"/>
        </w:rPr>
      </w:pPr>
    </w:p>
    <w:p w14:paraId="4B9524F9" w14:textId="77777777" w:rsidR="00EA4694" w:rsidRPr="00905357" w:rsidRDefault="00EA4694" w:rsidP="006A7CDC">
      <w:pPr>
        <w:ind w:left="720"/>
        <w:jc w:val="both"/>
        <w:rPr>
          <w:sz w:val="22"/>
          <w:szCs w:val="22"/>
        </w:rPr>
      </w:pPr>
      <w:r w:rsidRPr="00905357">
        <w:rPr>
          <w:sz w:val="22"/>
          <w:szCs w:val="22"/>
        </w:rPr>
        <w:t xml:space="preserve">This </w:t>
      </w:r>
      <w:r w:rsidR="005F5CD6" w:rsidRPr="00905357">
        <w:rPr>
          <w:sz w:val="22"/>
          <w:szCs w:val="22"/>
        </w:rPr>
        <w:t>activity</w:t>
      </w:r>
      <w:r w:rsidRPr="00905357">
        <w:rPr>
          <w:sz w:val="22"/>
          <w:szCs w:val="22"/>
        </w:rPr>
        <w:t xml:space="preserve"> has the potential to grow </w:t>
      </w:r>
      <w:r w:rsidR="00B0033B" w:rsidRPr="00905357">
        <w:rPr>
          <w:sz w:val="22"/>
          <w:szCs w:val="22"/>
        </w:rPr>
        <w:t>to support other innovative solutions by</w:t>
      </w:r>
      <w:r w:rsidRPr="00905357">
        <w:rPr>
          <w:sz w:val="22"/>
          <w:szCs w:val="22"/>
        </w:rPr>
        <w:t xml:space="preserve"> young social entrepreneurs </w:t>
      </w:r>
      <w:r w:rsidR="00B0033B" w:rsidRPr="00905357">
        <w:rPr>
          <w:sz w:val="22"/>
          <w:szCs w:val="22"/>
        </w:rPr>
        <w:t>and generate income and</w:t>
      </w:r>
      <w:r w:rsidRPr="00905357">
        <w:rPr>
          <w:sz w:val="22"/>
          <w:szCs w:val="22"/>
        </w:rPr>
        <w:t xml:space="preserve"> employment through the </w:t>
      </w:r>
      <w:r w:rsidR="00B0033B" w:rsidRPr="00905357">
        <w:rPr>
          <w:sz w:val="22"/>
          <w:szCs w:val="22"/>
        </w:rPr>
        <w:t xml:space="preserve">provision of much-needed health supplies and services.  </w:t>
      </w:r>
    </w:p>
    <w:p w14:paraId="33B837A1" w14:textId="77777777" w:rsidR="00B0033B" w:rsidRPr="00905357" w:rsidRDefault="00B0033B" w:rsidP="006A7CDC">
      <w:pPr>
        <w:jc w:val="both"/>
        <w:rPr>
          <w:color w:val="000000"/>
          <w:sz w:val="10"/>
          <w:szCs w:val="10"/>
          <w:bdr w:val="none" w:sz="0" w:space="0" w:color="auto" w:frame="1"/>
        </w:rPr>
      </w:pPr>
    </w:p>
    <w:p w14:paraId="3D3AE6CB" w14:textId="40929AFD" w:rsidR="00EF196B" w:rsidRPr="00905357" w:rsidRDefault="006E2355" w:rsidP="006A7CDC">
      <w:pPr>
        <w:shd w:val="clear" w:color="auto" w:fill="FFFFFF"/>
        <w:ind w:left="720"/>
        <w:jc w:val="both"/>
        <w:rPr>
          <w:i/>
          <w:sz w:val="22"/>
          <w:szCs w:val="22"/>
        </w:rPr>
      </w:pPr>
      <w:r w:rsidRPr="00905357">
        <w:rPr>
          <w:i/>
          <w:sz w:val="22"/>
          <w:szCs w:val="22"/>
        </w:rPr>
        <w:t>RRF budget requested</w:t>
      </w:r>
      <w:r w:rsidR="00EF196B" w:rsidRPr="00905357">
        <w:rPr>
          <w:i/>
          <w:sz w:val="22"/>
          <w:szCs w:val="22"/>
        </w:rPr>
        <w:t>: 50,000 USD (to be complemented by</w:t>
      </w:r>
      <w:r w:rsidR="005F5CD6" w:rsidRPr="00905357">
        <w:rPr>
          <w:i/>
          <w:sz w:val="22"/>
          <w:szCs w:val="22"/>
        </w:rPr>
        <w:t xml:space="preserve"> </w:t>
      </w:r>
      <w:r w:rsidR="00C41050" w:rsidRPr="00905357">
        <w:rPr>
          <w:i/>
          <w:color w:val="000000"/>
          <w:sz w:val="22"/>
          <w:szCs w:val="22"/>
        </w:rPr>
        <w:t>reallocation of funding</w:t>
      </w:r>
      <w:r w:rsidR="00C41050" w:rsidRPr="00905357">
        <w:rPr>
          <w:i/>
          <w:sz w:val="22"/>
          <w:szCs w:val="22"/>
        </w:rPr>
        <w:t xml:space="preserve"> from </w:t>
      </w:r>
      <w:r w:rsidR="00EF196B" w:rsidRPr="00905357">
        <w:rPr>
          <w:i/>
          <w:sz w:val="22"/>
          <w:szCs w:val="22"/>
        </w:rPr>
        <w:t>exi</w:t>
      </w:r>
      <w:r w:rsidR="005F5CD6" w:rsidRPr="00905357">
        <w:rPr>
          <w:i/>
          <w:sz w:val="22"/>
          <w:szCs w:val="22"/>
        </w:rPr>
        <w:t>s</w:t>
      </w:r>
      <w:r w:rsidR="00EF196B" w:rsidRPr="00905357">
        <w:rPr>
          <w:i/>
          <w:sz w:val="22"/>
          <w:szCs w:val="22"/>
        </w:rPr>
        <w:t>ting projects)</w:t>
      </w:r>
    </w:p>
    <w:p w14:paraId="17B4C248" w14:textId="77777777" w:rsidR="00EF196B" w:rsidRPr="00905357" w:rsidRDefault="00EF196B" w:rsidP="006A7CDC">
      <w:pPr>
        <w:shd w:val="clear" w:color="auto" w:fill="FFFFFF"/>
        <w:jc w:val="both"/>
      </w:pPr>
    </w:p>
    <w:p w14:paraId="0C8DF10B" w14:textId="77777777" w:rsidR="00EF196B" w:rsidRPr="00905357" w:rsidRDefault="00EF196B" w:rsidP="006A7CDC">
      <w:pPr>
        <w:jc w:val="both"/>
        <w:rPr>
          <w:color w:val="000000"/>
          <w:bdr w:val="none" w:sz="0" w:space="0" w:color="auto" w:frame="1"/>
        </w:rPr>
      </w:pPr>
      <w:r w:rsidRPr="00905357">
        <w:rPr>
          <w:b/>
          <w:bCs/>
          <w:color w:val="000000"/>
          <w:bdr w:val="none" w:sz="0" w:space="0" w:color="auto" w:frame="1"/>
        </w:rPr>
        <w:t>Output 2</w:t>
      </w:r>
      <w:r w:rsidRPr="00905357">
        <w:rPr>
          <w:color w:val="000000"/>
          <w:bdr w:val="none" w:sz="0" w:space="0" w:color="auto" w:frame="1"/>
        </w:rPr>
        <w:t xml:space="preserve">: </w:t>
      </w:r>
      <w:r w:rsidRPr="00905357">
        <w:rPr>
          <w:b/>
          <w:color w:val="000000"/>
          <w:bdr w:val="none" w:sz="0" w:space="0" w:color="auto" w:frame="1"/>
        </w:rPr>
        <w:t>SUPPORTING INCLUSIVE AND INTEGRATED CRISIS MANAGEMENT</w:t>
      </w:r>
      <w:r w:rsidRPr="00905357">
        <w:rPr>
          <w:color w:val="000000"/>
          <w:bdr w:val="none" w:sz="0" w:space="0" w:color="auto" w:frame="1"/>
        </w:rPr>
        <w:t xml:space="preserve"> </w:t>
      </w:r>
    </w:p>
    <w:p w14:paraId="3C64DEE8" w14:textId="77777777" w:rsidR="007A0120" w:rsidRPr="00905357" w:rsidRDefault="007A0120" w:rsidP="006A7CDC">
      <w:pPr>
        <w:jc w:val="both"/>
        <w:rPr>
          <w:color w:val="000000"/>
          <w:sz w:val="10"/>
          <w:szCs w:val="10"/>
          <w:bdr w:val="none" w:sz="0" w:space="0" w:color="auto" w:frame="1"/>
        </w:rPr>
      </w:pPr>
    </w:p>
    <w:p w14:paraId="04C82EB2" w14:textId="007AB84B" w:rsidR="006C72C5" w:rsidRPr="00905357" w:rsidRDefault="00EF196B" w:rsidP="006A7CDC">
      <w:pPr>
        <w:numPr>
          <w:ilvl w:val="0"/>
          <w:numId w:val="35"/>
        </w:numPr>
        <w:jc w:val="both"/>
        <w:rPr>
          <w:color w:val="000000"/>
          <w:sz w:val="22"/>
          <w:szCs w:val="22"/>
          <w:bdr w:val="none" w:sz="0" w:space="0" w:color="auto" w:frame="1"/>
        </w:rPr>
      </w:pPr>
      <w:r w:rsidRPr="00905357">
        <w:rPr>
          <w:b/>
          <w:bCs/>
          <w:color w:val="000000"/>
          <w:sz w:val="22"/>
          <w:szCs w:val="22"/>
          <w:bdr w:val="none" w:sz="0" w:space="0" w:color="auto" w:frame="1"/>
        </w:rPr>
        <w:t>Activity 2.1:</w:t>
      </w:r>
      <w:r w:rsidRPr="00905357">
        <w:rPr>
          <w:color w:val="000000"/>
          <w:sz w:val="22"/>
          <w:szCs w:val="22"/>
          <w:bdr w:val="none" w:sz="0" w:space="0" w:color="auto" w:frame="1"/>
        </w:rPr>
        <w:t xml:space="preserve"> </w:t>
      </w:r>
      <w:bookmarkStart w:id="7" w:name="_Hlk40433508"/>
      <w:r w:rsidRPr="00905357">
        <w:rPr>
          <w:color w:val="000000"/>
          <w:sz w:val="22"/>
          <w:szCs w:val="22"/>
          <w:bdr w:val="none" w:sz="0" w:space="0" w:color="auto" w:frame="1"/>
        </w:rPr>
        <w:t xml:space="preserve">Supporting the Ministry of Health </w:t>
      </w:r>
      <w:r w:rsidR="0070768A" w:rsidRPr="00905357">
        <w:rPr>
          <w:color w:val="000000"/>
          <w:sz w:val="22"/>
          <w:szCs w:val="22"/>
          <w:bdr w:val="none" w:sz="0" w:space="0" w:color="auto" w:frame="1"/>
        </w:rPr>
        <w:t>to ensure effective</w:t>
      </w:r>
      <w:r w:rsidRPr="00905357">
        <w:rPr>
          <w:color w:val="000000"/>
          <w:sz w:val="22"/>
          <w:szCs w:val="22"/>
          <w:bdr w:val="none" w:sz="0" w:space="0" w:color="auto" w:frame="1"/>
        </w:rPr>
        <w:t xml:space="preserve"> COVID</w:t>
      </w:r>
      <w:r w:rsidR="00A9768B" w:rsidRPr="00905357">
        <w:rPr>
          <w:color w:val="000000"/>
          <w:sz w:val="22"/>
          <w:szCs w:val="22"/>
          <w:bdr w:val="none" w:sz="0" w:space="0" w:color="auto" w:frame="1"/>
        </w:rPr>
        <w:t>-</w:t>
      </w:r>
      <w:r w:rsidRPr="00905357">
        <w:rPr>
          <w:color w:val="000000"/>
          <w:sz w:val="22"/>
          <w:szCs w:val="22"/>
          <w:bdr w:val="none" w:sz="0" w:space="0" w:color="auto" w:frame="1"/>
        </w:rPr>
        <w:t>19 response coordination</w:t>
      </w:r>
      <w:r w:rsidR="006C72C5" w:rsidRPr="00905357">
        <w:rPr>
          <w:color w:val="000000"/>
          <w:sz w:val="22"/>
          <w:szCs w:val="22"/>
          <w:bdr w:val="none" w:sz="0" w:space="0" w:color="auto" w:frame="1"/>
        </w:rPr>
        <w:t xml:space="preserve"> and a whole-of-government response, by strengthening coordination and public health capacity within the Ministry</w:t>
      </w:r>
      <w:r w:rsidR="008A1D6B" w:rsidRPr="00905357">
        <w:rPr>
          <w:color w:val="000000"/>
          <w:sz w:val="22"/>
          <w:szCs w:val="22"/>
          <w:bdr w:val="none" w:sz="0" w:space="0" w:color="auto" w:frame="1"/>
        </w:rPr>
        <w:t xml:space="preserve">. As explained above, this will entail </w:t>
      </w:r>
      <w:r w:rsidR="00147883" w:rsidRPr="00905357">
        <w:rPr>
          <w:color w:val="000000"/>
          <w:sz w:val="22"/>
          <w:szCs w:val="22"/>
          <w:bdr w:val="none" w:sz="0" w:space="0" w:color="auto" w:frame="1"/>
        </w:rPr>
        <w:t xml:space="preserve">immediately </w:t>
      </w:r>
      <w:r w:rsidR="008A1D6B" w:rsidRPr="00905357">
        <w:rPr>
          <w:color w:val="000000"/>
          <w:sz w:val="22"/>
          <w:szCs w:val="22"/>
          <w:bdr w:val="none" w:sz="0" w:space="0" w:color="auto" w:frame="1"/>
        </w:rPr>
        <w:t xml:space="preserve">providing two technical experts within the Ministry of Health to provide coordination of the cOVID_19 response with International Organizations and other Ministries. </w:t>
      </w:r>
    </w:p>
    <w:bookmarkEnd w:id="7"/>
    <w:p w14:paraId="0EB40FED" w14:textId="77777777" w:rsidR="00A646DD" w:rsidRPr="00905357" w:rsidRDefault="00A646DD" w:rsidP="006A7CDC">
      <w:pPr>
        <w:ind w:left="720"/>
        <w:jc w:val="both"/>
        <w:rPr>
          <w:i/>
          <w:color w:val="000000"/>
          <w:sz w:val="22"/>
          <w:szCs w:val="22"/>
          <w:bdr w:val="none" w:sz="0" w:space="0" w:color="auto" w:frame="1"/>
        </w:rPr>
      </w:pPr>
      <w:r w:rsidRPr="00905357">
        <w:rPr>
          <w:i/>
          <w:color w:val="000000"/>
          <w:sz w:val="22"/>
          <w:szCs w:val="22"/>
          <w:bdr w:val="none" w:sz="0" w:space="0" w:color="auto" w:frame="1"/>
        </w:rPr>
        <w:t>Key partners: Ministry of Health, Ministry of Planning, WHO</w:t>
      </w:r>
    </w:p>
    <w:p w14:paraId="2CD39F7C" w14:textId="59FA7CB0" w:rsidR="00EF196B" w:rsidRPr="00905357" w:rsidRDefault="006E2355" w:rsidP="006A7CDC">
      <w:pPr>
        <w:ind w:left="720"/>
        <w:jc w:val="both"/>
        <w:rPr>
          <w:i/>
          <w:color w:val="000000"/>
          <w:sz w:val="22"/>
          <w:szCs w:val="22"/>
          <w:bdr w:val="none" w:sz="0" w:space="0" w:color="auto" w:frame="1"/>
        </w:rPr>
      </w:pPr>
      <w:r w:rsidRPr="00905357">
        <w:rPr>
          <w:i/>
          <w:sz w:val="22"/>
          <w:szCs w:val="22"/>
        </w:rPr>
        <w:t>RRF budget requested</w:t>
      </w:r>
      <w:r w:rsidR="00EF196B" w:rsidRPr="00905357">
        <w:rPr>
          <w:i/>
          <w:color w:val="000000"/>
          <w:sz w:val="22"/>
          <w:szCs w:val="22"/>
          <w:bdr w:val="none" w:sz="0" w:space="0" w:color="auto" w:frame="1"/>
        </w:rPr>
        <w:t>: 100,000 USD</w:t>
      </w:r>
    </w:p>
    <w:p w14:paraId="4D9A2E37" w14:textId="77777777" w:rsidR="00C2094A" w:rsidRPr="00905357" w:rsidRDefault="00C2094A" w:rsidP="006A7CDC">
      <w:pPr>
        <w:jc w:val="both"/>
        <w:rPr>
          <w:color w:val="000000"/>
          <w:sz w:val="10"/>
          <w:szCs w:val="10"/>
          <w:bdr w:val="none" w:sz="0" w:space="0" w:color="auto" w:frame="1"/>
        </w:rPr>
      </w:pPr>
    </w:p>
    <w:p w14:paraId="269D0A77" w14:textId="37E177B7" w:rsidR="00783699" w:rsidRPr="006A7CDC" w:rsidRDefault="00EF196B" w:rsidP="006A7CDC">
      <w:pPr>
        <w:numPr>
          <w:ilvl w:val="0"/>
          <w:numId w:val="35"/>
        </w:numPr>
        <w:jc w:val="both"/>
        <w:rPr>
          <w:color w:val="000000"/>
          <w:sz w:val="22"/>
          <w:szCs w:val="22"/>
          <w:bdr w:val="none" w:sz="0" w:space="0" w:color="auto" w:frame="1"/>
        </w:rPr>
      </w:pPr>
      <w:r w:rsidRPr="00905357">
        <w:rPr>
          <w:b/>
          <w:bCs/>
          <w:color w:val="000000"/>
          <w:sz w:val="22"/>
          <w:szCs w:val="22"/>
          <w:bdr w:val="none" w:sz="0" w:space="0" w:color="auto" w:frame="1"/>
        </w:rPr>
        <w:t xml:space="preserve">Activity 2.2: </w:t>
      </w:r>
      <w:r w:rsidRPr="00905357">
        <w:rPr>
          <w:color w:val="000000"/>
          <w:sz w:val="22"/>
          <w:szCs w:val="22"/>
          <w:bdr w:val="none" w:sz="0" w:space="0" w:color="auto" w:frame="1"/>
        </w:rPr>
        <w:t>In partnership</w:t>
      </w:r>
      <w:r w:rsidRPr="006A7CDC">
        <w:rPr>
          <w:color w:val="000000"/>
          <w:sz w:val="22"/>
          <w:szCs w:val="22"/>
          <w:bdr w:val="none" w:sz="0" w:space="0" w:color="auto" w:frame="1"/>
        </w:rPr>
        <w:t xml:space="preserve"> with WHO, </w:t>
      </w:r>
      <w:bookmarkStart w:id="8" w:name="_Hlk40433719"/>
      <w:r w:rsidRPr="006A7CDC">
        <w:rPr>
          <w:color w:val="000000"/>
          <w:sz w:val="22"/>
          <w:szCs w:val="22"/>
          <w:bdr w:val="none" w:sz="0" w:space="0" w:color="auto" w:frame="1"/>
        </w:rPr>
        <w:t xml:space="preserve">support Libyan authorities to </w:t>
      </w:r>
      <w:r w:rsidR="00626A5D" w:rsidRPr="006A7CDC">
        <w:rPr>
          <w:color w:val="000000"/>
          <w:sz w:val="22"/>
          <w:szCs w:val="22"/>
          <w:bdr w:val="none" w:sz="0" w:space="0" w:color="auto" w:frame="1"/>
        </w:rPr>
        <w:t xml:space="preserve">engage local community actors to build </w:t>
      </w:r>
      <w:r w:rsidRPr="006A7CDC">
        <w:rPr>
          <w:color w:val="000000"/>
          <w:sz w:val="22"/>
          <w:szCs w:val="22"/>
          <w:bdr w:val="none" w:sz="0" w:space="0" w:color="auto" w:frame="1"/>
        </w:rPr>
        <w:t xml:space="preserve">a </w:t>
      </w:r>
      <w:r w:rsidR="00783699" w:rsidRPr="006A7CDC">
        <w:rPr>
          <w:color w:val="000000"/>
          <w:sz w:val="22"/>
          <w:szCs w:val="22"/>
          <w:bdr w:val="none" w:sz="0" w:space="0" w:color="auto" w:frame="1"/>
        </w:rPr>
        <w:t>Public Health communications campaign on social distancing and community care measures which combats misinformation</w:t>
      </w:r>
      <w:r w:rsidR="0011270D">
        <w:rPr>
          <w:color w:val="000000"/>
          <w:sz w:val="22"/>
          <w:szCs w:val="22"/>
          <w:bdr w:val="none" w:sz="0" w:space="0" w:color="auto" w:frame="1"/>
        </w:rPr>
        <w:t>;</w:t>
      </w:r>
      <w:r w:rsidR="00783699" w:rsidRPr="006A7CDC">
        <w:rPr>
          <w:color w:val="000000"/>
          <w:sz w:val="22"/>
          <w:szCs w:val="22"/>
          <w:bdr w:val="none" w:sz="0" w:space="0" w:color="auto" w:frame="1"/>
        </w:rPr>
        <w:t xml:space="preserve"> and </w:t>
      </w:r>
      <w:r w:rsidR="00783699" w:rsidRPr="006A7CDC">
        <w:rPr>
          <w:sz w:val="22"/>
          <w:szCs w:val="22"/>
        </w:rPr>
        <w:t>provide counternarratives to combat fake news and incitement</w:t>
      </w:r>
      <w:r w:rsidR="005B478D" w:rsidRPr="006A7CDC">
        <w:rPr>
          <w:sz w:val="22"/>
          <w:szCs w:val="22"/>
        </w:rPr>
        <w:t xml:space="preserve"> to conflict</w:t>
      </w:r>
      <w:r w:rsidR="00783699" w:rsidRPr="006A7CDC">
        <w:rPr>
          <w:sz w:val="22"/>
          <w:szCs w:val="22"/>
        </w:rPr>
        <w:t xml:space="preserve"> linked to COVID-19. </w:t>
      </w:r>
    </w:p>
    <w:bookmarkEnd w:id="8"/>
    <w:p w14:paraId="71A73318" w14:textId="77777777" w:rsidR="005B478D" w:rsidRPr="005C34A0" w:rsidRDefault="005B478D" w:rsidP="006A7CDC">
      <w:pPr>
        <w:ind w:left="720"/>
        <w:jc w:val="both"/>
        <w:rPr>
          <w:color w:val="000000"/>
          <w:sz w:val="10"/>
          <w:szCs w:val="10"/>
          <w:bdr w:val="none" w:sz="0" w:space="0" w:color="auto" w:frame="1"/>
        </w:rPr>
      </w:pPr>
    </w:p>
    <w:p w14:paraId="366024F1" w14:textId="77777777" w:rsidR="005B478D" w:rsidRPr="006A7CDC" w:rsidRDefault="005B478D" w:rsidP="006A7CDC">
      <w:pPr>
        <w:ind w:left="360" w:firstLine="360"/>
        <w:jc w:val="both"/>
        <w:rPr>
          <w:i/>
          <w:color w:val="000000"/>
          <w:sz w:val="22"/>
          <w:szCs w:val="22"/>
          <w:bdr w:val="none" w:sz="0" w:space="0" w:color="auto" w:frame="1"/>
        </w:rPr>
      </w:pPr>
      <w:r w:rsidRPr="006A7CDC">
        <w:rPr>
          <w:i/>
          <w:color w:val="000000"/>
          <w:sz w:val="22"/>
          <w:szCs w:val="22"/>
          <w:bdr w:val="none" w:sz="0" w:space="0" w:color="auto" w:frame="1"/>
        </w:rPr>
        <w:t>Key partners: Ministry of Health, WHO, UNSMIL, Municipalities</w:t>
      </w:r>
      <w:r w:rsidR="00626A5D" w:rsidRPr="006A7CDC">
        <w:rPr>
          <w:i/>
          <w:color w:val="000000"/>
          <w:sz w:val="22"/>
          <w:szCs w:val="22"/>
          <w:bdr w:val="none" w:sz="0" w:space="0" w:color="auto" w:frame="1"/>
        </w:rPr>
        <w:t>, Local mediators, CBO and NGOs</w:t>
      </w:r>
    </w:p>
    <w:p w14:paraId="217609E5" w14:textId="50C1FAA5" w:rsidR="005B478D" w:rsidRPr="006A7CDC" w:rsidRDefault="006E2355" w:rsidP="006A7CDC">
      <w:pPr>
        <w:shd w:val="clear" w:color="auto" w:fill="FFFFFF"/>
        <w:ind w:left="720"/>
        <w:jc w:val="both"/>
        <w:rPr>
          <w:i/>
          <w:sz w:val="22"/>
          <w:szCs w:val="22"/>
        </w:rPr>
      </w:pPr>
      <w:r>
        <w:rPr>
          <w:i/>
          <w:sz w:val="22"/>
          <w:szCs w:val="22"/>
        </w:rPr>
        <w:t>RRF b</w:t>
      </w:r>
      <w:r w:rsidR="005B478D" w:rsidRPr="006A7CDC">
        <w:rPr>
          <w:i/>
          <w:sz w:val="22"/>
          <w:szCs w:val="22"/>
        </w:rPr>
        <w:t>udge</w:t>
      </w:r>
      <w:r>
        <w:rPr>
          <w:i/>
          <w:sz w:val="22"/>
          <w:szCs w:val="22"/>
        </w:rPr>
        <w:t>t requested</w:t>
      </w:r>
      <w:r w:rsidR="005B478D" w:rsidRPr="006A7CDC">
        <w:rPr>
          <w:i/>
          <w:sz w:val="22"/>
          <w:szCs w:val="22"/>
        </w:rPr>
        <w:t xml:space="preserve">: 30,000 USD (to be complemented by </w:t>
      </w:r>
      <w:r w:rsidR="005B478D" w:rsidRPr="006A7CDC">
        <w:rPr>
          <w:i/>
          <w:color w:val="000000"/>
          <w:sz w:val="22"/>
          <w:szCs w:val="22"/>
        </w:rPr>
        <w:t xml:space="preserve">reallocation </w:t>
      </w:r>
      <w:r w:rsidR="005B478D" w:rsidRPr="006A7CDC">
        <w:rPr>
          <w:i/>
          <w:sz w:val="22"/>
          <w:szCs w:val="22"/>
        </w:rPr>
        <w:t>from</w:t>
      </w:r>
      <w:r w:rsidR="00F25B4B" w:rsidRPr="006A7CDC">
        <w:rPr>
          <w:i/>
          <w:sz w:val="22"/>
          <w:szCs w:val="22"/>
        </w:rPr>
        <w:t xml:space="preserve"> </w:t>
      </w:r>
      <w:r w:rsidR="005B478D" w:rsidRPr="006A7CDC">
        <w:rPr>
          <w:i/>
          <w:sz w:val="22"/>
          <w:szCs w:val="22"/>
        </w:rPr>
        <w:t xml:space="preserve">existing </w:t>
      </w:r>
      <w:r w:rsidR="00F25B4B" w:rsidRPr="006A7CDC">
        <w:rPr>
          <w:i/>
          <w:sz w:val="22"/>
          <w:szCs w:val="22"/>
        </w:rPr>
        <w:t xml:space="preserve">UNDP </w:t>
      </w:r>
      <w:r w:rsidR="005B478D" w:rsidRPr="006A7CDC">
        <w:rPr>
          <w:i/>
          <w:sz w:val="22"/>
          <w:szCs w:val="22"/>
        </w:rPr>
        <w:t>projects)</w:t>
      </w:r>
      <w:r w:rsidR="0011270D">
        <w:rPr>
          <w:i/>
          <w:sz w:val="22"/>
          <w:szCs w:val="22"/>
        </w:rPr>
        <w:t>.</w:t>
      </w:r>
    </w:p>
    <w:p w14:paraId="18080C94" w14:textId="77777777" w:rsidR="00EF196B" w:rsidRPr="006A7CDC" w:rsidRDefault="00EF196B" w:rsidP="006A7CDC">
      <w:pPr>
        <w:pStyle w:val="NormalWeb"/>
        <w:jc w:val="both"/>
        <w:rPr>
          <w:b/>
          <w:color w:val="000000"/>
          <w:sz w:val="22"/>
          <w:szCs w:val="22"/>
          <w:lang w:val="en-GB"/>
        </w:rPr>
      </w:pPr>
      <w:r w:rsidRPr="006A7CDC">
        <w:rPr>
          <w:b/>
          <w:color w:val="000000"/>
          <w:sz w:val="22"/>
          <w:szCs w:val="22"/>
          <w:lang w:val="en-GB"/>
        </w:rPr>
        <w:t>Output 3: UNDERTAKING THE SOCIO-ECONOMIC IMPACT NEEDS ASSESSMENT</w:t>
      </w:r>
      <w:r w:rsidR="00365BD9" w:rsidRPr="006A7CDC">
        <w:rPr>
          <w:b/>
          <w:bCs/>
          <w:color w:val="000000"/>
          <w:sz w:val="22"/>
          <w:szCs w:val="22"/>
          <w:lang w:val="en-GB"/>
        </w:rPr>
        <w:t xml:space="preserve"> </w:t>
      </w:r>
    </w:p>
    <w:p w14:paraId="07D75080" w14:textId="18D99D38" w:rsidR="00EF196B" w:rsidRPr="00905357" w:rsidRDefault="00EF196B" w:rsidP="00B92F65">
      <w:pPr>
        <w:numPr>
          <w:ilvl w:val="0"/>
          <w:numId w:val="35"/>
        </w:numPr>
        <w:jc w:val="both"/>
        <w:rPr>
          <w:sz w:val="22"/>
          <w:szCs w:val="22"/>
        </w:rPr>
      </w:pPr>
      <w:r w:rsidRPr="6FB26674">
        <w:rPr>
          <w:b/>
          <w:bCs/>
          <w:color w:val="000000" w:themeColor="text1"/>
          <w:sz w:val="22"/>
          <w:szCs w:val="22"/>
        </w:rPr>
        <w:t>Activity 3.1:</w:t>
      </w:r>
      <w:r w:rsidR="00365BD9" w:rsidRPr="6FB26674">
        <w:rPr>
          <w:b/>
          <w:bCs/>
          <w:color w:val="000000" w:themeColor="text1"/>
          <w:sz w:val="22"/>
          <w:szCs w:val="22"/>
        </w:rPr>
        <w:t xml:space="preserve"> </w:t>
      </w:r>
      <w:bookmarkStart w:id="9" w:name="_Hlk40433998"/>
      <w:r w:rsidR="00365BD9" w:rsidRPr="6FB26674">
        <w:rPr>
          <w:b/>
          <w:bCs/>
          <w:color w:val="000000" w:themeColor="text1"/>
          <w:sz w:val="22"/>
          <w:szCs w:val="22"/>
        </w:rPr>
        <w:t xml:space="preserve">In collaboration with other UN entities, the World Bank and Libyan Government, UNDP will support and initiate </w:t>
      </w:r>
      <w:r w:rsidR="1209287E" w:rsidRPr="6FB26674">
        <w:rPr>
          <w:b/>
          <w:bCs/>
          <w:color w:val="000000" w:themeColor="text1"/>
          <w:sz w:val="22"/>
          <w:szCs w:val="22"/>
        </w:rPr>
        <w:t xml:space="preserve">a </w:t>
      </w:r>
      <w:r w:rsidR="00365BD9" w:rsidRPr="6FB26674">
        <w:rPr>
          <w:b/>
          <w:bCs/>
          <w:color w:val="000000" w:themeColor="text1"/>
          <w:sz w:val="22"/>
          <w:szCs w:val="22"/>
        </w:rPr>
        <w:t xml:space="preserve">socio-economic impact assessment of COVID-19 in </w:t>
      </w:r>
      <w:proofErr w:type="gramStart"/>
      <w:r w:rsidR="00365BD9" w:rsidRPr="6FB26674">
        <w:rPr>
          <w:b/>
          <w:bCs/>
          <w:color w:val="000000" w:themeColor="text1"/>
          <w:sz w:val="22"/>
          <w:szCs w:val="22"/>
        </w:rPr>
        <w:t>Libya</w:t>
      </w:r>
      <w:r w:rsidR="6CD38279" w:rsidRPr="6FB26674">
        <w:rPr>
          <w:b/>
          <w:bCs/>
          <w:color w:val="000000" w:themeColor="text1"/>
          <w:sz w:val="22"/>
          <w:szCs w:val="22"/>
        </w:rPr>
        <w:t>,</w:t>
      </w:r>
      <w:r w:rsidR="00F25B4B" w:rsidRPr="6FB26674">
        <w:rPr>
          <w:b/>
          <w:bCs/>
          <w:color w:val="000000" w:themeColor="text1"/>
          <w:sz w:val="22"/>
          <w:szCs w:val="22"/>
        </w:rPr>
        <w:t xml:space="preserve"> </w:t>
      </w:r>
      <w:r w:rsidR="00F25B4B" w:rsidRPr="6FB26674">
        <w:rPr>
          <w:b/>
          <w:bCs/>
          <w:sz w:val="22"/>
          <w:szCs w:val="22"/>
          <w:lang w:eastAsia="zh-CN"/>
        </w:rPr>
        <w:t>and</w:t>
      </w:r>
      <w:proofErr w:type="gramEnd"/>
      <w:r w:rsidR="00F25B4B" w:rsidRPr="6FB26674">
        <w:rPr>
          <w:b/>
          <w:bCs/>
          <w:sz w:val="22"/>
          <w:szCs w:val="22"/>
          <w:lang w:eastAsia="zh-CN"/>
        </w:rPr>
        <w:t xml:space="preserve"> </w:t>
      </w:r>
      <w:r w:rsidR="006A7CDC" w:rsidRPr="6FB26674">
        <w:rPr>
          <w:b/>
          <w:bCs/>
          <w:sz w:val="22"/>
          <w:szCs w:val="22"/>
          <w:lang w:eastAsia="zh-CN"/>
        </w:rPr>
        <w:t>prepar</w:t>
      </w:r>
      <w:r w:rsidR="25F8921C" w:rsidRPr="6FB26674">
        <w:rPr>
          <w:b/>
          <w:bCs/>
          <w:sz w:val="22"/>
          <w:szCs w:val="22"/>
          <w:lang w:eastAsia="zh-CN"/>
        </w:rPr>
        <w:t>e</w:t>
      </w:r>
      <w:r w:rsidR="00F25B4B" w:rsidRPr="6FB26674">
        <w:rPr>
          <w:b/>
          <w:bCs/>
          <w:sz w:val="22"/>
          <w:szCs w:val="22"/>
          <w:lang w:eastAsia="zh-CN"/>
        </w:rPr>
        <w:t xml:space="preserve"> a recovery strategy and public policies for inclusive development and reconstruction</w:t>
      </w:r>
      <w:bookmarkEnd w:id="9"/>
      <w:r w:rsidR="00F25B4B" w:rsidRPr="6FB26674">
        <w:rPr>
          <w:color w:val="000000" w:themeColor="text1"/>
          <w:sz w:val="22"/>
          <w:szCs w:val="22"/>
        </w:rPr>
        <w:t xml:space="preserve">. </w:t>
      </w:r>
      <w:r w:rsidR="00E5319D" w:rsidRPr="6FB26674">
        <w:rPr>
          <w:color w:val="000000" w:themeColor="text1"/>
          <w:sz w:val="22"/>
          <w:szCs w:val="22"/>
        </w:rPr>
        <w:t xml:space="preserve">UNDP will lead on the recruitment of </w:t>
      </w:r>
      <w:r w:rsidRPr="00905357">
        <w:rPr>
          <w:color w:val="000000" w:themeColor="text1"/>
          <w:sz w:val="22"/>
          <w:szCs w:val="22"/>
        </w:rPr>
        <w:t xml:space="preserve">international expertise to design, formulate and undertake </w:t>
      </w:r>
      <w:r w:rsidR="004A20B9" w:rsidRPr="00905357">
        <w:rPr>
          <w:color w:val="000000" w:themeColor="text1"/>
          <w:sz w:val="22"/>
          <w:szCs w:val="22"/>
        </w:rPr>
        <w:t>the development of a</w:t>
      </w:r>
      <w:r w:rsidR="004A20B9" w:rsidRPr="00905357">
        <w:rPr>
          <w:sz w:val="22"/>
          <w:szCs w:val="22"/>
        </w:rPr>
        <w:t xml:space="preserve"> h</w:t>
      </w:r>
      <w:r w:rsidR="00333A1E" w:rsidRPr="00905357">
        <w:rPr>
          <w:sz w:val="22"/>
          <w:szCs w:val="22"/>
        </w:rPr>
        <w:t xml:space="preserve">olistic </w:t>
      </w:r>
      <w:r w:rsidR="004A20B9" w:rsidRPr="00905357">
        <w:rPr>
          <w:sz w:val="22"/>
          <w:szCs w:val="22"/>
        </w:rPr>
        <w:t>assessment tool to analyse the socioeconomic impact of COVID-19</w:t>
      </w:r>
      <w:r w:rsidR="00D569FC" w:rsidRPr="00905357">
        <w:rPr>
          <w:sz w:val="22"/>
          <w:szCs w:val="22"/>
        </w:rPr>
        <w:t xml:space="preserve"> with rapid implementation and results. It will also input</w:t>
      </w:r>
      <w:r w:rsidR="004A20B9" w:rsidRPr="00905357">
        <w:rPr>
          <w:sz w:val="22"/>
          <w:szCs w:val="22"/>
        </w:rPr>
        <w:t xml:space="preserve"> conflict and peacebuilding </w:t>
      </w:r>
      <w:r w:rsidR="00F37DAC" w:rsidRPr="00905357">
        <w:rPr>
          <w:sz w:val="22"/>
          <w:szCs w:val="22"/>
        </w:rPr>
        <w:t>approaches, utilizing data innovation – to ensure real-time user generated and sex-disaggregated data is collected</w:t>
      </w:r>
      <w:r w:rsidR="00A258E5" w:rsidRPr="00905357">
        <w:rPr>
          <w:sz w:val="22"/>
          <w:szCs w:val="22"/>
        </w:rPr>
        <w:t xml:space="preserve"> and analysed</w:t>
      </w:r>
      <w:r w:rsidR="00F37DAC" w:rsidRPr="00905357">
        <w:rPr>
          <w:sz w:val="22"/>
          <w:szCs w:val="22"/>
        </w:rPr>
        <w:t xml:space="preserve">. </w:t>
      </w:r>
      <w:r w:rsidR="00102B26" w:rsidRPr="00905357">
        <w:rPr>
          <w:sz w:val="22"/>
          <w:szCs w:val="22"/>
        </w:rPr>
        <w:t xml:space="preserve">It is anticipated that the recruitment of an international consultant to lead the assessment and development of </w:t>
      </w:r>
      <w:r w:rsidR="00320CA4" w:rsidRPr="00905357">
        <w:rPr>
          <w:sz w:val="22"/>
          <w:szCs w:val="22"/>
        </w:rPr>
        <w:t xml:space="preserve">a conflict-sensitive </w:t>
      </w:r>
      <w:r w:rsidR="00102B26" w:rsidRPr="00905357">
        <w:rPr>
          <w:sz w:val="22"/>
          <w:szCs w:val="22"/>
        </w:rPr>
        <w:t xml:space="preserve">impact assessment tool </w:t>
      </w:r>
      <w:r w:rsidR="00375DB5" w:rsidRPr="00905357">
        <w:rPr>
          <w:sz w:val="22"/>
          <w:szCs w:val="22"/>
        </w:rPr>
        <w:t xml:space="preserve">and methodology </w:t>
      </w:r>
      <w:r w:rsidR="00102B26" w:rsidRPr="00905357">
        <w:rPr>
          <w:sz w:val="22"/>
          <w:szCs w:val="22"/>
        </w:rPr>
        <w:t>in partnership with the UN</w:t>
      </w:r>
      <w:r w:rsidR="00772464" w:rsidRPr="00905357">
        <w:rPr>
          <w:sz w:val="22"/>
          <w:szCs w:val="22"/>
        </w:rPr>
        <w:t>CT, WB and national actors</w:t>
      </w:r>
      <w:r w:rsidR="00D569FC" w:rsidRPr="00905357">
        <w:rPr>
          <w:sz w:val="22"/>
          <w:szCs w:val="22"/>
        </w:rPr>
        <w:t xml:space="preserve"> to be focused on the identification of short and mediate term actions and set the basis for a longer-term medium level assessment that requires a much longer period for implementation</w:t>
      </w:r>
      <w:r w:rsidR="00772464" w:rsidRPr="00905357">
        <w:rPr>
          <w:sz w:val="22"/>
          <w:szCs w:val="22"/>
        </w:rPr>
        <w:t xml:space="preserve">. </w:t>
      </w:r>
      <w:r w:rsidR="00375DB5" w:rsidRPr="00905357">
        <w:rPr>
          <w:sz w:val="22"/>
          <w:szCs w:val="22"/>
        </w:rPr>
        <w:t>UNDP will</w:t>
      </w:r>
      <w:r w:rsidR="00111168" w:rsidRPr="00905357">
        <w:rPr>
          <w:sz w:val="22"/>
          <w:szCs w:val="22"/>
        </w:rPr>
        <w:t xml:space="preserve"> then also</w:t>
      </w:r>
      <w:r w:rsidR="00375DB5" w:rsidRPr="00905357">
        <w:rPr>
          <w:sz w:val="22"/>
          <w:szCs w:val="22"/>
        </w:rPr>
        <w:t xml:space="preserve"> identify </w:t>
      </w:r>
      <w:r w:rsidR="1E4A50AB" w:rsidRPr="00905357">
        <w:rPr>
          <w:sz w:val="22"/>
          <w:szCs w:val="22"/>
        </w:rPr>
        <w:t xml:space="preserve">and map-out </w:t>
      </w:r>
      <w:r w:rsidR="00375DB5" w:rsidRPr="00905357">
        <w:rPr>
          <w:sz w:val="22"/>
          <w:szCs w:val="22"/>
        </w:rPr>
        <w:t>NGOs</w:t>
      </w:r>
      <w:r w:rsidR="00A22F51" w:rsidRPr="00905357">
        <w:rPr>
          <w:sz w:val="22"/>
          <w:szCs w:val="22"/>
        </w:rPr>
        <w:t xml:space="preserve"> with capacity, taking into account conflict-sensitivity approach,</w:t>
      </w:r>
      <w:r w:rsidR="00375DB5" w:rsidRPr="00905357">
        <w:rPr>
          <w:sz w:val="22"/>
          <w:szCs w:val="22"/>
        </w:rPr>
        <w:t xml:space="preserve"> to support data collection on the ground, </w:t>
      </w:r>
      <w:r w:rsidR="00E7567F" w:rsidRPr="00905357">
        <w:rPr>
          <w:sz w:val="22"/>
          <w:szCs w:val="22"/>
        </w:rPr>
        <w:t>identify</w:t>
      </w:r>
      <w:r w:rsidR="0026333A" w:rsidRPr="00905357">
        <w:rPr>
          <w:sz w:val="22"/>
          <w:szCs w:val="22"/>
        </w:rPr>
        <w:t xml:space="preserve"> innovative remote information collection</w:t>
      </w:r>
      <w:r w:rsidR="00772464" w:rsidRPr="00905357">
        <w:rPr>
          <w:color w:val="000000" w:themeColor="text1"/>
          <w:sz w:val="22"/>
          <w:szCs w:val="22"/>
          <w:lang w:eastAsia="zh-CN"/>
        </w:rPr>
        <w:t xml:space="preserve"> </w:t>
      </w:r>
      <w:r w:rsidR="0026333A" w:rsidRPr="00905357">
        <w:rPr>
          <w:color w:val="000000" w:themeColor="text1"/>
          <w:sz w:val="22"/>
          <w:szCs w:val="22"/>
          <w:lang w:eastAsia="zh-CN"/>
        </w:rPr>
        <w:t>systems</w:t>
      </w:r>
      <w:r w:rsidR="00A258E5" w:rsidRPr="00905357">
        <w:rPr>
          <w:color w:val="000000" w:themeColor="text1"/>
          <w:sz w:val="22"/>
          <w:szCs w:val="22"/>
          <w:lang w:eastAsia="zh-CN"/>
        </w:rPr>
        <w:t>,</w:t>
      </w:r>
      <w:r w:rsidR="0026333A" w:rsidRPr="00905357">
        <w:rPr>
          <w:color w:val="000000" w:themeColor="text1"/>
          <w:sz w:val="22"/>
          <w:szCs w:val="22"/>
          <w:lang w:eastAsia="zh-CN"/>
        </w:rPr>
        <w:t xml:space="preserve"> with a focus on </w:t>
      </w:r>
      <w:r w:rsidR="00772464" w:rsidRPr="00905357">
        <w:rPr>
          <w:color w:val="000000" w:themeColor="text1"/>
          <w:sz w:val="22"/>
          <w:szCs w:val="22"/>
          <w:lang w:eastAsia="zh-CN"/>
        </w:rPr>
        <w:t xml:space="preserve">poor and vulnerable groups and </w:t>
      </w:r>
      <w:r w:rsidR="0026333A" w:rsidRPr="00905357">
        <w:rPr>
          <w:color w:val="000000" w:themeColor="text1"/>
          <w:sz w:val="22"/>
          <w:szCs w:val="22"/>
          <w:lang w:eastAsia="zh-CN"/>
        </w:rPr>
        <w:t>with a gender</w:t>
      </w:r>
      <w:r w:rsidR="00DB717A" w:rsidRPr="00905357">
        <w:rPr>
          <w:color w:val="000000" w:themeColor="text1"/>
          <w:sz w:val="22"/>
          <w:szCs w:val="22"/>
          <w:lang w:eastAsia="zh-CN"/>
        </w:rPr>
        <w:t xml:space="preserve"> and human rights</w:t>
      </w:r>
      <w:r w:rsidR="0026333A" w:rsidRPr="00905357">
        <w:rPr>
          <w:color w:val="000000" w:themeColor="text1"/>
          <w:sz w:val="22"/>
          <w:szCs w:val="22"/>
          <w:lang w:eastAsia="zh-CN"/>
        </w:rPr>
        <w:t xml:space="preserve"> lens</w:t>
      </w:r>
      <w:r w:rsidR="00A258E5" w:rsidRPr="00905357">
        <w:rPr>
          <w:color w:val="000000" w:themeColor="text1"/>
          <w:sz w:val="22"/>
          <w:szCs w:val="22"/>
          <w:lang w:eastAsia="zh-CN"/>
        </w:rPr>
        <w:t>,</w:t>
      </w:r>
      <w:r w:rsidR="00772464" w:rsidRPr="00905357">
        <w:rPr>
          <w:color w:val="000000" w:themeColor="text1"/>
          <w:sz w:val="22"/>
          <w:szCs w:val="22"/>
          <w:lang w:eastAsia="zh-CN"/>
        </w:rPr>
        <w:t xml:space="preserve"> to</w:t>
      </w:r>
      <w:r w:rsidR="00DB717A" w:rsidRPr="00905357">
        <w:rPr>
          <w:color w:val="000000" w:themeColor="text1"/>
          <w:sz w:val="22"/>
          <w:szCs w:val="22"/>
          <w:lang w:eastAsia="zh-CN"/>
        </w:rPr>
        <w:t xml:space="preserve"> inform policies which</w:t>
      </w:r>
      <w:r w:rsidR="00772464" w:rsidRPr="00905357">
        <w:rPr>
          <w:color w:val="000000" w:themeColor="text1"/>
          <w:sz w:val="22"/>
          <w:szCs w:val="22"/>
          <w:lang w:eastAsia="zh-CN"/>
        </w:rPr>
        <w:t xml:space="preserve"> mitigate the negative effects and increase community resilience</w:t>
      </w:r>
      <w:r w:rsidR="00375DB5" w:rsidRPr="00905357">
        <w:rPr>
          <w:color w:val="000000" w:themeColor="text1"/>
          <w:sz w:val="22"/>
          <w:szCs w:val="22"/>
          <w:lang w:eastAsia="zh-CN"/>
        </w:rPr>
        <w:t>.</w:t>
      </w:r>
      <w:r w:rsidR="00E7567F" w:rsidRPr="00905357">
        <w:rPr>
          <w:sz w:val="22"/>
          <w:szCs w:val="22"/>
        </w:rPr>
        <w:t xml:space="preserve"> It is anticipated that th</w:t>
      </w:r>
      <w:r w:rsidR="00111168" w:rsidRPr="00905357">
        <w:rPr>
          <w:sz w:val="22"/>
          <w:szCs w:val="22"/>
        </w:rPr>
        <w:t>is</w:t>
      </w:r>
      <w:r w:rsidR="00E7567F" w:rsidRPr="00905357">
        <w:rPr>
          <w:sz w:val="22"/>
          <w:szCs w:val="22"/>
        </w:rPr>
        <w:t xml:space="preserve"> will take six months</w:t>
      </w:r>
      <w:r w:rsidR="00B768D2" w:rsidRPr="00905357">
        <w:rPr>
          <w:sz w:val="22"/>
          <w:szCs w:val="22"/>
        </w:rPr>
        <w:t xml:space="preserve">, </w:t>
      </w:r>
      <w:r w:rsidR="00435FE9" w:rsidRPr="00905357">
        <w:rPr>
          <w:sz w:val="22"/>
          <w:szCs w:val="22"/>
        </w:rPr>
        <w:t xml:space="preserve">covering the whole country, </w:t>
      </w:r>
      <w:r w:rsidR="00B768D2" w:rsidRPr="00905357">
        <w:rPr>
          <w:sz w:val="22"/>
          <w:szCs w:val="22"/>
        </w:rPr>
        <w:t xml:space="preserve">and that </w:t>
      </w:r>
      <w:r w:rsidR="00A258E5" w:rsidRPr="00905357">
        <w:rPr>
          <w:sz w:val="22"/>
          <w:szCs w:val="22"/>
        </w:rPr>
        <w:t xml:space="preserve">the </w:t>
      </w:r>
      <w:r w:rsidR="00B768D2" w:rsidRPr="00905357">
        <w:rPr>
          <w:sz w:val="22"/>
          <w:szCs w:val="22"/>
        </w:rPr>
        <w:t>remaining steps of the exercise (</w:t>
      </w:r>
      <w:r w:rsidR="00905357" w:rsidRPr="00905357">
        <w:rPr>
          <w:sz w:val="22"/>
          <w:szCs w:val="22"/>
        </w:rPr>
        <w:t>e.g.</w:t>
      </w:r>
      <w:r w:rsidR="00584D1C" w:rsidRPr="00905357">
        <w:rPr>
          <w:sz w:val="22"/>
          <w:szCs w:val="22"/>
        </w:rPr>
        <w:t xml:space="preserve"> </w:t>
      </w:r>
      <w:r w:rsidR="00B768D2" w:rsidRPr="00905357">
        <w:rPr>
          <w:sz w:val="22"/>
          <w:szCs w:val="22"/>
        </w:rPr>
        <w:t>production of the report, dissemination of the findings</w:t>
      </w:r>
      <w:r w:rsidR="006E72D1" w:rsidRPr="00905357">
        <w:rPr>
          <w:sz w:val="22"/>
          <w:szCs w:val="22"/>
        </w:rPr>
        <w:t xml:space="preserve">, stakeholder consultations and support to the development of recovery </w:t>
      </w:r>
      <w:r w:rsidR="00F25B4B" w:rsidRPr="00905357">
        <w:rPr>
          <w:sz w:val="22"/>
          <w:szCs w:val="22"/>
        </w:rPr>
        <w:t xml:space="preserve">strategy, policies and </w:t>
      </w:r>
      <w:r w:rsidR="006E72D1" w:rsidRPr="00905357">
        <w:rPr>
          <w:sz w:val="22"/>
          <w:szCs w:val="22"/>
        </w:rPr>
        <w:t xml:space="preserve">interventions) will be </w:t>
      </w:r>
      <w:r w:rsidR="00B768D2" w:rsidRPr="00905357">
        <w:rPr>
          <w:sz w:val="22"/>
          <w:szCs w:val="22"/>
        </w:rPr>
        <w:t>completed in Q4</w:t>
      </w:r>
      <w:r w:rsidR="006B1F90" w:rsidRPr="00905357">
        <w:rPr>
          <w:sz w:val="22"/>
          <w:szCs w:val="22"/>
        </w:rPr>
        <w:t xml:space="preserve"> and beyond</w:t>
      </w:r>
      <w:r w:rsidR="00B768D2" w:rsidRPr="00905357">
        <w:rPr>
          <w:sz w:val="22"/>
          <w:szCs w:val="22"/>
        </w:rPr>
        <w:t xml:space="preserve">. </w:t>
      </w:r>
    </w:p>
    <w:p w14:paraId="6A3803F5" w14:textId="77777777" w:rsidR="00584D1C" w:rsidRPr="005C34A0" w:rsidRDefault="00584D1C" w:rsidP="005C34A0">
      <w:pPr>
        <w:ind w:left="720"/>
        <w:jc w:val="both"/>
        <w:rPr>
          <w:sz w:val="10"/>
          <w:szCs w:val="10"/>
        </w:rPr>
      </w:pPr>
    </w:p>
    <w:p w14:paraId="56F061EC" w14:textId="4EFAA331" w:rsidR="006E2355" w:rsidRDefault="00731201" w:rsidP="00B92F65">
      <w:pPr>
        <w:ind w:left="720"/>
        <w:jc w:val="both"/>
        <w:rPr>
          <w:i/>
          <w:sz w:val="22"/>
          <w:szCs w:val="22"/>
          <w:lang w:eastAsia="fr-FR"/>
        </w:rPr>
      </w:pPr>
      <w:r w:rsidRPr="006A7CDC">
        <w:rPr>
          <w:i/>
          <w:sz w:val="22"/>
          <w:szCs w:val="22"/>
          <w:lang w:eastAsia="fr-FR"/>
        </w:rPr>
        <w:lastRenderedPageBreak/>
        <w:t>Key partners: Ministry of Health, Ministry of Planning, Ministry of Labour, Ministry of Social Affairs, Ministry of Economy, Ministry of Finance, World Bank, UN Agencies (UNICEF, UN Women, WFP, IOM, UNHCR), NGOs for data collection, international experts</w:t>
      </w:r>
    </w:p>
    <w:p w14:paraId="5EE97626" w14:textId="77777777" w:rsidR="006E2355" w:rsidRPr="006A7CDC" w:rsidRDefault="006E2355" w:rsidP="005C34A0">
      <w:pPr>
        <w:ind w:left="720"/>
        <w:jc w:val="both"/>
        <w:rPr>
          <w:i/>
          <w:sz w:val="22"/>
          <w:szCs w:val="22"/>
          <w:lang w:eastAsia="fr-FR"/>
        </w:rPr>
      </w:pPr>
    </w:p>
    <w:p w14:paraId="3D66715D" w14:textId="0053705D" w:rsidR="00EF196B" w:rsidRPr="005C34A0" w:rsidRDefault="006E2355" w:rsidP="005C34A0">
      <w:pPr>
        <w:ind w:left="720"/>
        <w:jc w:val="both"/>
        <w:rPr>
          <w:i/>
          <w:iCs/>
        </w:rPr>
      </w:pPr>
      <w:r w:rsidRPr="005C34A0">
        <w:rPr>
          <w:i/>
          <w:iCs/>
          <w:lang w:val="en-US"/>
        </w:rPr>
        <w:t>RRF budget requested</w:t>
      </w:r>
      <w:r w:rsidR="00EF196B" w:rsidRPr="005C34A0">
        <w:rPr>
          <w:i/>
          <w:iCs/>
        </w:rPr>
        <w:t>: 100,000 USD</w:t>
      </w:r>
      <w:r w:rsidR="006B1F90" w:rsidRPr="005C34A0">
        <w:rPr>
          <w:i/>
          <w:iCs/>
        </w:rPr>
        <w:t xml:space="preserve"> (with additional funding to be mobilized from other sources)</w:t>
      </w:r>
    </w:p>
    <w:p w14:paraId="1E17C34C" w14:textId="77777777" w:rsidR="005965D7" w:rsidRPr="005C34A0" w:rsidRDefault="005965D7" w:rsidP="006A7CDC">
      <w:pPr>
        <w:ind w:left="720"/>
        <w:jc w:val="both"/>
        <w:rPr>
          <w:i/>
          <w:iCs/>
          <w:sz w:val="22"/>
          <w:szCs w:val="22"/>
          <w:lang w:eastAsia="zh-CN"/>
        </w:rPr>
      </w:pPr>
    </w:p>
    <w:p w14:paraId="10ABEB2B" w14:textId="2D202AE5" w:rsidR="004357C5" w:rsidRPr="00602DEA" w:rsidRDefault="00BE618A" w:rsidP="006A7CDC">
      <w:pPr>
        <w:jc w:val="both"/>
        <w:rPr>
          <w:bCs/>
          <w:sz w:val="22"/>
          <w:szCs w:val="22"/>
        </w:rPr>
      </w:pPr>
      <w:r w:rsidRPr="00905357">
        <w:rPr>
          <w:bCs/>
          <w:sz w:val="22"/>
          <w:szCs w:val="22"/>
        </w:rPr>
        <w:t xml:space="preserve">UNDP will be applying the same risk mitigation measures that are undertaken through its Stabilization and Resilience projects </w:t>
      </w:r>
      <w:r w:rsidR="001D4194" w:rsidRPr="00905357">
        <w:rPr>
          <w:bCs/>
          <w:sz w:val="22"/>
          <w:szCs w:val="22"/>
        </w:rPr>
        <w:t xml:space="preserve">leveraging municipal level partners and implementation modalities that are effectively working as much as possible given the circumstances.  Moreover, there are additional measures that </w:t>
      </w:r>
      <w:r w:rsidRPr="00905357">
        <w:rPr>
          <w:bCs/>
          <w:sz w:val="22"/>
          <w:szCs w:val="22"/>
        </w:rPr>
        <w:t>are currently negotiated by th</w:t>
      </w:r>
      <w:r w:rsidR="001D4194" w:rsidRPr="00905357">
        <w:rPr>
          <w:bCs/>
          <w:sz w:val="22"/>
          <w:szCs w:val="22"/>
        </w:rPr>
        <w:t>e UN Area</w:t>
      </w:r>
      <w:r w:rsidRPr="00905357">
        <w:rPr>
          <w:bCs/>
          <w:sz w:val="22"/>
          <w:szCs w:val="22"/>
        </w:rPr>
        <w:t xml:space="preserve"> Coordin</w:t>
      </w:r>
      <w:r w:rsidR="001D4194" w:rsidRPr="00905357">
        <w:rPr>
          <w:bCs/>
          <w:sz w:val="22"/>
          <w:szCs w:val="22"/>
        </w:rPr>
        <w:t>ation groups (for South, West, E</w:t>
      </w:r>
      <w:r w:rsidRPr="00905357">
        <w:rPr>
          <w:bCs/>
          <w:sz w:val="22"/>
          <w:szCs w:val="22"/>
        </w:rPr>
        <w:t xml:space="preserve">ast) specifically on granting </w:t>
      </w:r>
      <w:r w:rsidR="001D4194" w:rsidRPr="00905357">
        <w:rPr>
          <w:bCs/>
          <w:sz w:val="22"/>
          <w:szCs w:val="22"/>
        </w:rPr>
        <w:t>special mobility permits to UN</w:t>
      </w:r>
      <w:r w:rsidR="00905357">
        <w:rPr>
          <w:bCs/>
          <w:sz w:val="22"/>
          <w:szCs w:val="22"/>
        </w:rPr>
        <w:t xml:space="preserve"> and </w:t>
      </w:r>
      <w:r w:rsidR="001D4194" w:rsidRPr="00905357">
        <w:rPr>
          <w:bCs/>
          <w:sz w:val="22"/>
          <w:szCs w:val="22"/>
        </w:rPr>
        <w:t>Humanitarian workers to be able to work beyond curfew hours. UNDP is closely following up on the developments regarding risk mitigation measures through HCT and different coordination groups.</w:t>
      </w:r>
      <w:r w:rsidR="001D4194" w:rsidRPr="00602DEA">
        <w:rPr>
          <w:bCs/>
          <w:sz w:val="22"/>
          <w:szCs w:val="22"/>
        </w:rPr>
        <w:t xml:space="preserve"> </w:t>
      </w:r>
    </w:p>
    <w:p w14:paraId="32D97904" w14:textId="77777777" w:rsidR="001D4194" w:rsidRPr="006A7CDC" w:rsidRDefault="001D4194" w:rsidP="006A7CDC">
      <w:pPr>
        <w:jc w:val="both"/>
        <w:rPr>
          <w:b/>
          <w:sz w:val="22"/>
          <w:szCs w:val="22"/>
        </w:rPr>
      </w:pPr>
    </w:p>
    <w:p w14:paraId="2E6978B6" w14:textId="77777777" w:rsidR="004357C5" w:rsidRPr="006A7CDC" w:rsidRDefault="00A16F8B" w:rsidP="006A7CDC">
      <w:pPr>
        <w:jc w:val="both"/>
        <w:rPr>
          <w:b/>
          <w:sz w:val="22"/>
          <w:szCs w:val="22"/>
        </w:rPr>
      </w:pPr>
      <w:r w:rsidRPr="006A7CDC">
        <w:rPr>
          <w:b/>
          <w:sz w:val="22"/>
          <w:szCs w:val="22"/>
        </w:rPr>
        <w:t>3</w:t>
      </w:r>
      <w:r w:rsidR="007253BE" w:rsidRPr="006A7CDC">
        <w:rPr>
          <w:b/>
          <w:sz w:val="22"/>
          <w:szCs w:val="22"/>
        </w:rPr>
        <w:t xml:space="preserve">. </w:t>
      </w:r>
      <w:r w:rsidR="004357C5" w:rsidRPr="006A7CDC">
        <w:rPr>
          <w:b/>
          <w:sz w:val="22"/>
          <w:szCs w:val="22"/>
        </w:rPr>
        <w:t>MANAGEMENT ARRANGEMENTS</w:t>
      </w:r>
    </w:p>
    <w:p w14:paraId="1F48986A" w14:textId="77777777" w:rsidR="002845B8" w:rsidRPr="006A7CDC" w:rsidRDefault="002845B8" w:rsidP="006A7CDC">
      <w:pPr>
        <w:jc w:val="both"/>
        <w:rPr>
          <w:b/>
          <w:sz w:val="22"/>
          <w:szCs w:val="22"/>
        </w:rPr>
      </w:pPr>
    </w:p>
    <w:p w14:paraId="3F0BDA1F" w14:textId="50436461" w:rsidR="0034568B" w:rsidRPr="006A7CDC" w:rsidRDefault="001E0E51" w:rsidP="006A7CDC">
      <w:pPr>
        <w:pStyle w:val="ListParagraph"/>
        <w:ind w:left="0"/>
        <w:jc w:val="both"/>
        <w:rPr>
          <w:sz w:val="22"/>
          <w:szCs w:val="22"/>
          <w:lang w:eastAsia="fr-FR"/>
        </w:rPr>
      </w:pPr>
      <w:r w:rsidRPr="006A7CDC">
        <w:rPr>
          <w:sz w:val="22"/>
          <w:szCs w:val="22"/>
          <w:lang w:eastAsia="zh-CN"/>
        </w:rPr>
        <w:t xml:space="preserve">The project will be implemented though a direct implementation modality (DIM), with UNDP working closely with </w:t>
      </w:r>
      <w:r w:rsidR="001762E9">
        <w:rPr>
          <w:sz w:val="22"/>
          <w:szCs w:val="22"/>
          <w:lang w:eastAsia="zh-CN"/>
        </w:rPr>
        <w:t xml:space="preserve">the </w:t>
      </w:r>
      <w:r w:rsidRPr="006A7CDC">
        <w:rPr>
          <w:sz w:val="22"/>
          <w:szCs w:val="22"/>
          <w:lang w:eastAsia="zh-CN"/>
        </w:rPr>
        <w:t xml:space="preserve">UNCT within the Multi-Sector Response led by the RC, and in close coordination with </w:t>
      </w:r>
      <w:r w:rsidR="00584D1C">
        <w:rPr>
          <w:sz w:val="22"/>
          <w:szCs w:val="22"/>
          <w:lang w:eastAsia="zh-CN"/>
        </w:rPr>
        <w:t>G</w:t>
      </w:r>
      <w:r w:rsidRPr="006A7CDC">
        <w:rPr>
          <w:sz w:val="22"/>
          <w:szCs w:val="22"/>
          <w:lang w:eastAsia="zh-CN"/>
        </w:rPr>
        <w:t>overnment and other partners</w:t>
      </w:r>
      <w:r w:rsidR="00733DE3" w:rsidRPr="006A7CDC">
        <w:rPr>
          <w:sz w:val="22"/>
          <w:szCs w:val="22"/>
          <w:lang w:eastAsia="zh-CN"/>
        </w:rPr>
        <w:t xml:space="preserve">. UNDP will leverage existing </w:t>
      </w:r>
      <w:r w:rsidR="00733DE3" w:rsidRPr="006A7CDC">
        <w:rPr>
          <w:sz w:val="22"/>
          <w:szCs w:val="22"/>
          <w:lang w:eastAsia="fr-FR"/>
        </w:rPr>
        <w:t xml:space="preserve">operational projects/presences/coordination mechanisms established under </w:t>
      </w:r>
      <w:r w:rsidR="00927630" w:rsidRPr="006A7CDC">
        <w:rPr>
          <w:sz w:val="22"/>
          <w:szCs w:val="22"/>
          <w:lang w:eastAsia="fr-FR"/>
        </w:rPr>
        <w:t>its</w:t>
      </w:r>
      <w:r w:rsidR="00733DE3" w:rsidRPr="006A7CDC">
        <w:rPr>
          <w:sz w:val="22"/>
          <w:szCs w:val="22"/>
          <w:lang w:eastAsia="fr-FR"/>
        </w:rPr>
        <w:t xml:space="preserve"> Resilience</w:t>
      </w:r>
      <w:r w:rsidR="0034568B" w:rsidRPr="006A7CDC">
        <w:rPr>
          <w:sz w:val="22"/>
          <w:szCs w:val="22"/>
          <w:lang w:eastAsia="fr-FR"/>
        </w:rPr>
        <w:t xml:space="preserve"> and </w:t>
      </w:r>
      <w:r w:rsidR="00733DE3" w:rsidRPr="006A7CDC">
        <w:rPr>
          <w:sz w:val="22"/>
          <w:szCs w:val="22"/>
          <w:lang w:eastAsia="fr-FR"/>
        </w:rPr>
        <w:t>Stabilization projects</w:t>
      </w:r>
      <w:r w:rsidR="00927630" w:rsidRPr="006A7CDC">
        <w:rPr>
          <w:sz w:val="22"/>
          <w:szCs w:val="22"/>
          <w:lang w:eastAsia="fr-FR"/>
        </w:rPr>
        <w:t xml:space="preserve"> which support </w:t>
      </w:r>
      <w:r w:rsidR="00733DE3" w:rsidRPr="006A7CDC">
        <w:rPr>
          <w:sz w:val="22"/>
          <w:szCs w:val="22"/>
          <w:lang w:eastAsia="fr-FR"/>
        </w:rPr>
        <w:t>rebuilding, support to Municipalities,</w:t>
      </w:r>
      <w:r w:rsidR="001762E9">
        <w:rPr>
          <w:sz w:val="22"/>
          <w:szCs w:val="22"/>
          <w:lang w:eastAsia="fr-FR"/>
        </w:rPr>
        <w:t xml:space="preserve"> and</w:t>
      </w:r>
      <w:r w:rsidR="00733DE3" w:rsidRPr="006A7CDC">
        <w:rPr>
          <w:sz w:val="22"/>
          <w:szCs w:val="22"/>
          <w:lang w:eastAsia="fr-FR"/>
        </w:rPr>
        <w:t xml:space="preserve"> recovery</w:t>
      </w:r>
      <w:r w:rsidR="00927630" w:rsidRPr="006A7CDC">
        <w:rPr>
          <w:sz w:val="22"/>
          <w:szCs w:val="22"/>
          <w:lang w:eastAsia="fr-FR"/>
        </w:rPr>
        <w:t xml:space="preserve"> across the country.  </w:t>
      </w:r>
    </w:p>
    <w:p w14:paraId="44BBB945" w14:textId="77777777" w:rsidR="0034568B" w:rsidRPr="006A7CDC" w:rsidRDefault="0034568B" w:rsidP="006A7CDC">
      <w:pPr>
        <w:pStyle w:val="ListParagraph"/>
        <w:ind w:left="0"/>
        <w:jc w:val="both"/>
        <w:rPr>
          <w:sz w:val="22"/>
          <w:szCs w:val="22"/>
          <w:lang w:eastAsia="fr-FR"/>
        </w:rPr>
      </w:pPr>
    </w:p>
    <w:p w14:paraId="70BF5605" w14:textId="446EBA13" w:rsidR="002E728B" w:rsidRDefault="00A43E3C" w:rsidP="006A7CDC">
      <w:pPr>
        <w:pStyle w:val="ListParagraph"/>
        <w:ind w:left="0"/>
        <w:jc w:val="both"/>
        <w:rPr>
          <w:sz w:val="22"/>
          <w:szCs w:val="22"/>
          <w:lang w:eastAsia="fr-FR"/>
        </w:rPr>
      </w:pPr>
      <w:r w:rsidRPr="40CA9480">
        <w:rPr>
          <w:sz w:val="22"/>
          <w:szCs w:val="22"/>
          <w:lang w:eastAsia="fr-FR"/>
        </w:rPr>
        <w:t>The initiative is connected to the overall Government and U</w:t>
      </w:r>
      <w:r w:rsidR="00584D1C" w:rsidRPr="40CA9480">
        <w:rPr>
          <w:sz w:val="22"/>
          <w:szCs w:val="22"/>
          <w:lang w:eastAsia="fr-FR"/>
        </w:rPr>
        <w:t>N</w:t>
      </w:r>
      <w:r w:rsidRPr="40CA9480">
        <w:rPr>
          <w:sz w:val="22"/>
          <w:szCs w:val="22"/>
          <w:lang w:eastAsia="fr-FR"/>
        </w:rPr>
        <w:t xml:space="preserve"> response. </w:t>
      </w:r>
      <w:r w:rsidR="0034568B" w:rsidRPr="40CA9480">
        <w:rPr>
          <w:sz w:val="22"/>
          <w:szCs w:val="22"/>
          <w:lang w:eastAsia="fr-FR"/>
        </w:rPr>
        <w:t xml:space="preserve">The RRF proposal is within the strategic response of the Health Cluster (UN Response) as well as Ministry of Health’s priorities. As an </w:t>
      </w:r>
      <w:r w:rsidR="002E728B" w:rsidRPr="40CA9480">
        <w:rPr>
          <w:sz w:val="22"/>
          <w:szCs w:val="22"/>
          <w:lang w:eastAsia="fr-FR"/>
        </w:rPr>
        <w:t>active member of the UNCT, HCT and Health Cluster</w:t>
      </w:r>
      <w:r w:rsidR="0034568B" w:rsidRPr="40CA9480">
        <w:rPr>
          <w:sz w:val="22"/>
          <w:szCs w:val="22"/>
          <w:lang w:eastAsia="fr-FR"/>
        </w:rPr>
        <w:t xml:space="preserve">, UNDP has ensured consultation with </w:t>
      </w:r>
      <w:r w:rsidR="007E675C" w:rsidRPr="40CA9480">
        <w:rPr>
          <w:sz w:val="22"/>
          <w:szCs w:val="22"/>
          <w:lang w:eastAsia="fr-FR"/>
        </w:rPr>
        <w:t>WHO, the</w:t>
      </w:r>
      <w:r w:rsidR="0034568B" w:rsidRPr="40CA9480">
        <w:rPr>
          <w:sz w:val="22"/>
          <w:szCs w:val="22"/>
          <w:lang w:eastAsia="fr-FR"/>
        </w:rPr>
        <w:t xml:space="preserve"> RC/HC and UN Health Cluster and Humanitarian Coordination Mechanism</w:t>
      </w:r>
      <w:r w:rsidR="007E675C" w:rsidRPr="40CA9480">
        <w:rPr>
          <w:sz w:val="22"/>
          <w:szCs w:val="22"/>
          <w:lang w:eastAsia="fr-FR"/>
        </w:rPr>
        <w:t xml:space="preserve">, who are supportive of UNDP’s positioning and strategy. The Ministries of </w:t>
      </w:r>
      <w:r w:rsidR="0034568B" w:rsidRPr="40CA9480">
        <w:rPr>
          <w:sz w:val="22"/>
          <w:szCs w:val="22"/>
          <w:lang w:eastAsia="fr-FR"/>
        </w:rPr>
        <w:t xml:space="preserve">Health and Planning and </w:t>
      </w:r>
      <w:r w:rsidR="007E675C" w:rsidRPr="40CA9480">
        <w:rPr>
          <w:sz w:val="22"/>
          <w:szCs w:val="22"/>
          <w:lang w:eastAsia="fr-FR"/>
        </w:rPr>
        <w:t xml:space="preserve">are also fully supportive.  </w:t>
      </w:r>
    </w:p>
    <w:p w14:paraId="7753E25E" w14:textId="77777777" w:rsidR="007E675C" w:rsidRDefault="007E675C" w:rsidP="006A7CDC">
      <w:pPr>
        <w:pStyle w:val="ListParagraph"/>
        <w:ind w:left="0"/>
        <w:jc w:val="both"/>
        <w:rPr>
          <w:sz w:val="22"/>
          <w:szCs w:val="22"/>
          <w:lang w:eastAsia="fr-FR"/>
        </w:rPr>
      </w:pPr>
    </w:p>
    <w:p w14:paraId="3492CDF6" w14:textId="264A4059" w:rsidR="00FF115B" w:rsidRPr="006A7CDC" w:rsidRDefault="007E675C" w:rsidP="006A7CDC">
      <w:pPr>
        <w:pStyle w:val="ListParagraph"/>
        <w:ind w:left="0"/>
        <w:jc w:val="both"/>
        <w:rPr>
          <w:sz w:val="22"/>
          <w:szCs w:val="22"/>
          <w:lang w:eastAsia="fr-FR"/>
        </w:rPr>
      </w:pPr>
      <w:r w:rsidRPr="40CA9480">
        <w:rPr>
          <w:sz w:val="22"/>
          <w:szCs w:val="22"/>
          <w:lang w:eastAsia="fr-FR"/>
        </w:rPr>
        <w:t>In addition to the proposed RRF allocation, UNDP will be reallocating funding from three existing programmes</w:t>
      </w:r>
      <w:r w:rsidR="00FF115B" w:rsidRPr="40CA9480">
        <w:rPr>
          <w:sz w:val="22"/>
          <w:szCs w:val="22"/>
          <w:lang w:eastAsia="fr-FR"/>
        </w:rPr>
        <w:t xml:space="preserve"> (stabilization, resilience and JSB/START) </w:t>
      </w:r>
      <w:r w:rsidRPr="40CA9480">
        <w:rPr>
          <w:sz w:val="22"/>
          <w:szCs w:val="22"/>
          <w:lang w:eastAsia="fr-FR"/>
        </w:rPr>
        <w:t xml:space="preserve">with the permission of </w:t>
      </w:r>
      <w:r w:rsidR="00D27708" w:rsidRPr="40CA9480">
        <w:rPr>
          <w:sz w:val="22"/>
          <w:szCs w:val="22"/>
          <w:lang w:eastAsia="fr-FR"/>
        </w:rPr>
        <w:t xml:space="preserve">the </w:t>
      </w:r>
      <w:r w:rsidR="00FF115B" w:rsidRPr="40CA9480">
        <w:rPr>
          <w:sz w:val="22"/>
          <w:szCs w:val="22"/>
          <w:lang w:eastAsia="fr-FR"/>
        </w:rPr>
        <w:t xml:space="preserve">Government and </w:t>
      </w:r>
      <w:r w:rsidRPr="40CA9480">
        <w:rPr>
          <w:sz w:val="22"/>
          <w:szCs w:val="22"/>
          <w:lang w:eastAsia="fr-FR"/>
        </w:rPr>
        <w:t>donors</w:t>
      </w:r>
      <w:r w:rsidR="00FF115B" w:rsidRPr="40CA9480">
        <w:rPr>
          <w:sz w:val="22"/>
          <w:szCs w:val="22"/>
          <w:lang w:eastAsia="fr-FR"/>
        </w:rPr>
        <w:t xml:space="preserve"> </w:t>
      </w:r>
      <w:r w:rsidR="00BC5DE4" w:rsidRPr="40CA9480">
        <w:rPr>
          <w:sz w:val="22"/>
          <w:szCs w:val="22"/>
          <w:lang w:eastAsia="fr-FR"/>
        </w:rPr>
        <w:t xml:space="preserve">to support implementation of Output 1 and 2. </w:t>
      </w:r>
    </w:p>
    <w:p w14:paraId="7EF43287" w14:textId="77777777" w:rsidR="00FF115B" w:rsidRPr="006A7CDC" w:rsidRDefault="00FF115B" w:rsidP="006A7CDC">
      <w:pPr>
        <w:pStyle w:val="ListParagraph"/>
        <w:ind w:left="0"/>
        <w:jc w:val="both"/>
        <w:rPr>
          <w:sz w:val="22"/>
          <w:szCs w:val="22"/>
          <w:lang w:eastAsia="fr-FR"/>
        </w:rPr>
      </w:pPr>
    </w:p>
    <w:p w14:paraId="79434EEA" w14:textId="18052F61" w:rsidR="00733DE3" w:rsidRPr="006A7CDC" w:rsidRDefault="00BC5DE4" w:rsidP="006A7CDC">
      <w:pPr>
        <w:pStyle w:val="ListParagraph"/>
        <w:ind w:left="0"/>
        <w:jc w:val="both"/>
        <w:rPr>
          <w:sz w:val="22"/>
          <w:szCs w:val="22"/>
          <w:lang w:eastAsia="fr-FR"/>
        </w:rPr>
      </w:pPr>
      <w:r w:rsidRPr="006A7CDC">
        <w:rPr>
          <w:sz w:val="22"/>
          <w:szCs w:val="22"/>
          <w:lang w:eastAsia="fr-FR"/>
        </w:rPr>
        <w:t xml:space="preserve"> Implementation of the RRF proposal will be overseen by the RR with the DRR </w:t>
      </w:r>
      <w:r w:rsidR="002E728B" w:rsidRPr="006A7CDC">
        <w:rPr>
          <w:sz w:val="22"/>
          <w:szCs w:val="22"/>
          <w:lang w:eastAsia="fr-FR"/>
        </w:rPr>
        <w:t xml:space="preserve">leading the project, with the support of the </w:t>
      </w:r>
      <w:r w:rsidR="00733DE3" w:rsidRPr="006A7CDC">
        <w:rPr>
          <w:sz w:val="22"/>
          <w:szCs w:val="22"/>
          <w:lang w:eastAsia="fr-FR"/>
        </w:rPr>
        <w:t>Project Managers</w:t>
      </w:r>
      <w:r w:rsidR="00584D1C">
        <w:rPr>
          <w:sz w:val="22"/>
          <w:szCs w:val="22"/>
          <w:lang w:eastAsia="fr-FR"/>
        </w:rPr>
        <w:t xml:space="preserve"> and </w:t>
      </w:r>
      <w:r w:rsidR="00733DE3" w:rsidRPr="006A7CDC">
        <w:rPr>
          <w:sz w:val="22"/>
          <w:szCs w:val="22"/>
          <w:lang w:eastAsia="fr-FR"/>
        </w:rPr>
        <w:t xml:space="preserve">Teams of </w:t>
      </w:r>
      <w:r w:rsidR="00584D1C">
        <w:rPr>
          <w:sz w:val="22"/>
          <w:szCs w:val="22"/>
          <w:lang w:eastAsia="fr-FR"/>
        </w:rPr>
        <w:t xml:space="preserve">the </w:t>
      </w:r>
      <w:r w:rsidR="00733DE3" w:rsidRPr="006A7CDC">
        <w:rPr>
          <w:sz w:val="22"/>
          <w:szCs w:val="22"/>
          <w:lang w:eastAsia="fr-FR"/>
        </w:rPr>
        <w:t xml:space="preserve">Stabilization, Resilience and START projects as well as the CO Communications Officer in the supply role. </w:t>
      </w:r>
      <w:r w:rsidR="002E728B" w:rsidRPr="006A7CDC">
        <w:rPr>
          <w:sz w:val="22"/>
          <w:szCs w:val="22"/>
          <w:lang w:eastAsia="fr-FR"/>
        </w:rPr>
        <w:t>The</w:t>
      </w:r>
      <w:r w:rsidR="00733DE3" w:rsidRPr="006A7CDC">
        <w:rPr>
          <w:sz w:val="22"/>
          <w:szCs w:val="22"/>
          <w:lang w:eastAsia="fr-FR"/>
        </w:rPr>
        <w:t xml:space="preserve"> Service </w:t>
      </w:r>
      <w:r w:rsidR="006C24A8" w:rsidRPr="006A7CDC">
        <w:rPr>
          <w:sz w:val="22"/>
          <w:szCs w:val="22"/>
          <w:lang w:eastAsia="fr-FR"/>
        </w:rPr>
        <w:t>Centre</w:t>
      </w:r>
      <w:r w:rsidR="00733DE3" w:rsidRPr="006A7CDC">
        <w:rPr>
          <w:sz w:val="22"/>
          <w:szCs w:val="22"/>
          <w:lang w:eastAsia="fr-FR"/>
        </w:rPr>
        <w:t xml:space="preserve"> </w:t>
      </w:r>
      <w:r w:rsidR="004F1E61" w:rsidRPr="006A7CDC">
        <w:rPr>
          <w:color w:val="000000"/>
          <w:sz w:val="22"/>
          <w:szCs w:val="22"/>
          <w:lang w:eastAsia="fr-FR"/>
        </w:rPr>
        <w:t xml:space="preserve">(UNDP Libya </w:t>
      </w:r>
      <w:r w:rsidR="006162CD" w:rsidRPr="006A7CDC">
        <w:rPr>
          <w:color w:val="000000"/>
          <w:sz w:val="22"/>
          <w:szCs w:val="22"/>
          <w:lang w:eastAsia="fr-FR"/>
        </w:rPr>
        <w:t>procurement</w:t>
      </w:r>
      <w:r w:rsidR="00584D1C">
        <w:rPr>
          <w:color w:val="000000"/>
          <w:sz w:val="22"/>
          <w:szCs w:val="22"/>
          <w:lang w:eastAsia="fr-FR"/>
        </w:rPr>
        <w:t xml:space="preserve"> and </w:t>
      </w:r>
      <w:r w:rsidR="006162CD" w:rsidRPr="006A7CDC">
        <w:rPr>
          <w:color w:val="000000"/>
          <w:sz w:val="22"/>
          <w:szCs w:val="22"/>
          <w:lang w:eastAsia="fr-FR"/>
        </w:rPr>
        <w:t>e</w:t>
      </w:r>
      <w:r w:rsidR="004F1E61" w:rsidRPr="006A7CDC">
        <w:rPr>
          <w:color w:val="000000"/>
          <w:sz w:val="22"/>
          <w:szCs w:val="22"/>
          <w:lang w:eastAsia="fr-FR"/>
        </w:rPr>
        <w:t>ngineers)</w:t>
      </w:r>
      <w:r w:rsidR="002E728B" w:rsidRPr="006A7CDC">
        <w:rPr>
          <w:sz w:val="22"/>
          <w:szCs w:val="22"/>
          <w:lang w:eastAsia="fr-FR"/>
        </w:rPr>
        <w:t xml:space="preserve"> </w:t>
      </w:r>
      <w:r w:rsidR="00733DE3" w:rsidRPr="006A7CDC">
        <w:rPr>
          <w:sz w:val="22"/>
          <w:szCs w:val="22"/>
          <w:lang w:eastAsia="fr-FR"/>
        </w:rPr>
        <w:t xml:space="preserve">will </w:t>
      </w:r>
      <w:proofErr w:type="gramStart"/>
      <w:r w:rsidR="00733DE3" w:rsidRPr="006A7CDC">
        <w:rPr>
          <w:sz w:val="22"/>
          <w:szCs w:val="22"/>
          <w:lang w:eastAsia="fr-FR"/>
        </w:rPr>
        <w:t xml:space="preserve">be in charge </w:t>
      </w:r>
      <w:r w:rsidR="00FF115B" w:rsidRPr="006A7CDC">
        <w:rPr>
          <w:sz w:val="22"/>
          <w:szCs w:val="22"/>
          <w:lang w:eastAsia="fr-FR"/>
        </w:rPr>
        <w:t>of</w:t>
      </w:r>
      <w:proofErr w:type="gramEnd"/>
      <w:r w:rsidR="00FF115B" w:rsidRPr="006A7CDC">
        <w:rPr>
          <w:sz w:val="22"/>
          <w:szCs w:val="22"/>
          <w:lang w:eastAsia="fr-FR"/>
        </w:rPr>
        <w:t xml:space="preserve"> </w:t>
      </w:r>
      <w:r w:rsidR="00733DE3" w:rsidRPr="006A7CDC">
        <w:rPr>
          <w:sz w:val="22"/>
          <w:szCs w:val="22"/>
          <w:lang w:eastAsia="fr-FR"/>
        </w:rPr>
        <w:t xml:space="preserve">providing procurement officers. </w:t>
      </w:r>
    </w:p>
    <w:p w14:paraId="26375A2D" w14:textId="77777777" w:rsidR="00733DE3" w:rsidRPr="006A7CDC" w:rsidRDefault="00733DE3" w:rsidP="006A7CDC">
      <w:pPr>
        <w:jc w:val="both"/>
        <w:rPr>
          <w:lang w:eastAsia="fr-FR"/>
        </w:rPr>
      </w:pPr>
    </w:p>
    <w:p w14:paraId="348B2ADE" w14:textId="77777777" w:rsidR="006B1F90" w:rsidRPr="006A7CDC" w:rsidRDefault="006B1F90" w:rsidP="006A7CDC">
      <w:pPr>
        <w:jc w:val="both"/>
        <w:rPr>
          <w:b/>
          <w:sz w:val="22"/>
        </w:rPr>
        <w:sectPr w:rsidR="006B1F90" w:rsidRPr="006A7CDC" w:rsidSect="00282FFD">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990" w:right="900" w:bottom="450" w:left="1170" w:header="720" w:footer="172" w:gutter="0"/>
          <w:cols w:space="720"/>
          <w:docGrid w:linePitch="360"/>
        </w:sectPr>
      </w:pPr>
    </w:p>
    <w:p w14:paraId="59F85B2B" w14:textId="77777777" w:rsidR="00EC788B" w:rsidRPr="006A7CDC" w:rsidRDefault="00A16F8B" w:rsidP="006A7CDC">
      <w:pPr>
        <w:jc w:val="both"/>
        <w:rPr>
          <w:b/>
          <w:sz w:val="22"/>
        </w:rPr>
      </w:pPr>
      <w:r w:rsidRPr="006A7CDC">
        <w:rPr>
          <w:b/>
          <w:sz w:val="22"/>
        </w:rPr>
        <w:lastRenderedPageBreak/>
        <w:t>4</w:t>
      </w:r>
      <w:r w:rsidR="007253BE" w:rsidRPr="006A7CDC">
        <w:rPr>
          <w:b/>
          <w:sz w:val="22"/>
        </w:rPr>
        <w:t xml:space="preserve">. </w:t>
      </w:r>
      <w:r w:rsidR="00EC788B" w:rsidRPr="006A7CDC">
        <w:rPr>
          <w:b/>
          <w:sz w:val="22"/>
        </w:rPr>
        <w:t>ANNUAL WORK PLAN BUDGET SHEET</w:t>
      </w:r>
    </w:p>
    <w:p w14:paraId="27CE5644" w14:textId="77777777" w:rsidR="002845B8" w:rsidRPr="006A7CDC" w:rsidRDefault="002845B8" w:rsidP="006A7CDC">
      <w:pPr>
        <w:jc w:val="both"/>
        <w:rPr>
          <w:b/>
          <w:sz w:val="22"/>
        </w:rPr>
      </w:pPr>
    </w:p>
    <w:p w14:paraId="31D039C8" w14:textId="77777777" w:rsidR="00EC788B" w:rsidRPr="006A7CDC" w:rsidRDefault="00EC788B" w:rsidP="006A7CD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3516"/>
        <w:gridCol w:w="547"/>
        <w:gridCol w:w="504"/>
        <w:gridCol w:w="512"/>
        <w:gridCol w:w="2156"/>
        <w:gridCol w:w="772"/>
        <w:gridCol w:w="1741"/>
        <w:gridCol w:w="1022"/>
      </w:tblGrid>
      <w:tr w:rsidR="00732456" w:rsidRPr="006A7CDC" w14:paraId="7BD8F3F4" w14:textId="77777777" w:rsidTr="006B2410">
        <w:trPr>
          <w:cantSplit/>
        </w:trPr>
        <w:tc>
          <w:tcPr>
            <w:tcW w:w="1258" w:type="pct"/>
            <w:vMerge w:val="restart"/>
            <w:shd w:val="clear" w:color="auto" w:fill="CCCCCC"/>
            <w:vAlign w:val="center"/>
          </w:tcPr>
          <w:p w14:paraId="1C4587A6" w14:textId="77777777" w:rsidR="00732456" w:rsidRPr="006A7CDC" w:rsidRDefault="00732456" w:rsidP="006A7CDC">
            <w:pPr>
              <w:jc w:val="both"/>
              <w:rPr>
                <w:b/>
                <w:bCs/>
                <w:sz w:val="20"/>
                <w:szCs w:val="20"/>
              </w:rPr>
            </w:pPr>
            <w:r w:rsidRPr="006A7CDC">
              <w:rPr>
                <w:b/>
                <w:bCs/>
                <w:sz w:val="20"/>
                <w:szCs w:val="20"/>
              </w:rPr>
              <w:t>EXPECTED OUTPUTS</w:t>
            </w:r>
          </w:p>
          <w:p w14:paraId="3271A48D" w14:textId="77777777" w:rsidR="00732456" w:rsidRPr="006A7CDC" w:rsidRDefault="00732456" w:rsidP="006A7CDC">
            <w:pPr>
              <w:pStyle w:val="Heading3"/>
              <w:jc w:val="both"/>
              <w:rPr>
                <w:sz w:val="20"/>
                <w:szCs w:val="20"/>
              </w:rPr>
            </w:pPr>
            <w:r w:rsidRPr="006A7CDC">
              <w:rPr>
                <w:sz w:val="20"/>
                <w:szCs w:val="20"/>
              </w:rPr>
              <w:t>and indicators including annual targets</w:t>
            </w:r>
          </w:p>
        </w:tc>
        <w:tc>
          <w:tcPr>
            <w:tcW w:w="1222" w:type="pct"/>
            <w:vMerge w:val="restart"/>
            <w:shd w:val="clear" w:color="auto" w:fill="CCCCCC"/>
          </w:tcPr>
          <w:p w14:paraId="4CC2865F" w14:textId="77777777" w:rsidR="00732456" w:rsidRPr="006A7CDC" w:rsidRDefault="00732456" w:rsidP="006A7CDC">
            <w:pPr>
              <w:jc w:val="both"/>
              <w:rPr>
                <w:i/>
                <w:iCs/>
                <w:sz w:val="20"/>
                <w:szCs w:val="20"/>
              </w:rPr>
            </w:pPr>
            <w:r w:rsidRPr="006A7CDC">
              <w:rPr>
                <w:b/>
                <w:bCs/>
                <w:sz w:val="20"/>
                <w:szCs w:val="20"/>
              </w:rPr>
              <w:t>PLANNED ACTIVITIES</w:t>
            </w:r>
          </w:p>
        </w:tc>
        <w:tc>
          <w:tcPr>
            <w:tcW w:w="543" w:type="pct"/>
            <w:gridSpan w:val="3"/>
            <w:shd w:val="clear" w:color="auto" w:fill="CCCCCC"/>
          </w:tcPr>
          <w:p w14:paraId="5DA9B97C" w14:textId="77777777" w:rsidR="00732456" w:rsidRPr="006A7CDC" w:rsidRDefault="00732456" w:rsidP="006A7CDC">
            <w:pPr>
              <w:jc w:val="both"/>
              <w:rPr>
                <w:b/>
                <w:bCs/>
                <w:sz w:val="20"/>
                <w:szCs w:val="20"/>
              </w:rPr>
            </w:pPr>
            <w:r w:rsidRPr="006A7CDC">
              <w:rPr>
                <w:b/>
                <w:bCs/>
                <w:sz w:val="16"/>
                <w:szCs w:val="16"/>
              </w:rPr>
              <w:t>TIMEFRAME</w:t>
            </w:r>
          </w:p>
        </w:tc>
        <w:tc>
          <w:tcPr>
            <w:tcW w:w="749" w:type="pct"/>
            <w:vMerge w:val="restart"/>
            <w:shd w:val="clear" w:color="auto" w:fill="CCCCCC"/>
          </w:tcPr>
          <w:p w14:paraId="533DB51E" w14:textId="77777777" w:rsidR="00732456" w:rsidRPr="006A7CDC" w:rsidRDefault="00732456" w:rsidP="006A7CDC">
            <w:pPr>
              <w:jc w:val="both"/>
              <w:rPr>
                <w:b/>
                <w:bCs/>
                <w:sz w:val="20"/>
                <w:szCs w:val="20"/>
              </w:rPr>
            </w:pPr>
            <w:r w:rsidRPr="006A7CDC">
              <w:rPr>
                <w:b/>
                <w:bCs/>
                <w:sz w:val="20"/>
                <w:szCs w:val="20"/>
              </w:rPr>
              <w:t>RESPONSIBLE ARTY</w:t>
            </w:r>
          </w:p>
        </w:tc>
        <w:tc>
          <w:tcPr>
            <w:tcW w:w="1228" w:type="pct"/>
            <w:gridSpan w:val="3"/>
            <w:shd w:val="clear" w:color="auto" w:fill="CCCCCC"/>
          </w:tcPr>
          <w:p w14:paraId="015A2F65" w14:textId="77777777" w:rsidR="00732456" w:rsidRPr="006A7CDC" w:rsidRDefault="00732456" w:rsidP="006A7CDC">
            <w:pPr>
              <w:jc w:val="both"/>
              <w:rPr>
                <w:b/>
                <w:bCs/>
                <w:sz w:val="22"/>
                <w:szCs w:val="22"/>
              </w:rPr>
            </w:pPr>
            <w:r w:rsidRPr="006A7CDC">
              <w:rPr>
                <w:b/>
                <w:bCs/>
                <w:sz w:val="22"/>
                <w:szCs w:val="22"/>
              </w:rPr>
              <w:t>PLANNED BUDGET</w:t>
            </w:r>
          </w:p>
        </w:tc>
      </w:tr>
      <w:tr w:rsidR="001F54B9" w:rsidRPr="006A7CDC" w14:paraId="74875C6C" w14:textId="77777777" w:rsidTr="006B2410">
        <w:trPr>
          <w:cantSplit/>
          <w:trHeight w:val="620"/>
        </w:trPr>
        <w:tc>
          <w:tcPr>
            <w:tcW w:w="1258" w:type="pct"/>
            <w:vMerge/>
          </w:tcPr>
          <w:p w14:paraId="4D13D5AC" w14:textId="77777777" w:rsidR="00E270CF" w:rsidRPr="006A7CDC" w:rsidRDefault="00E270CF" w:rsidP="006A7CDC">
            <w:pPr>
              <w:jc w:val="both"/>
              <w:rPr>
                <w:sz w:val="22"/>
                <w:szCs w:val="22"/>
              </w:rPr>
            </w:pPr>
          </w:p>
        </w:tc>
        <w:tc>
          <w:tcPr>
            <w:tcW w:w="1222" w:type="pct"/>
            <w:vMerge/>
          </w:tcPr>
          <w:p w14:paraId="0CF8FA6F" w14:textId="77777777" w:rsidR="00E270CF" w:rsidRPr="006A7CDC" w:rsidRDefault="00E270CF" w:rsidP="006A7CDC">
            <w:pPr>
              <w:jc w:val="both"/>
              <w:rPr>
                <w:sz w:val="22"/>
                <w:szCs w:val="22"/>
              </w:rPr>
            </w:pPr>
          </w:p>
        </w:tc>
        <w:tc>
          <w:tcPr>
            <w:tcW w:w="190" w:type="pct"/>
            <w:tcBorders>
              <w:bottom w:val="single" w:sz="4" w:space="0" w:color="auto"/>
            </w:tcBorders>
            <w:shd w:val="clear" w:color="auto" w:fill="CCCCCC"/>
          </w:tcPr>
          <w:p w14:paraId="46AC2AB9" w14:textId="77777777" w:rsidR="00E270CF" w:rsidRPr="006A7CDC" w:rsidRDefault="00E270CF" w:rsidP="006A7CDC">
            <w:pPr>
              <w:jc w:val="both"/>
              <w:rPr>
                <w:sz w:val="18"/>
                <w:szCs w:val="18"/>
              </w:rPr>
            </w:pPr>
            <w:r w:rsidRPr="006A7CDC">
              <w:rPr>
                <w:sz w:val="18"/>
                <w:szCs w:val="18"/>
              </w:rPr>
              <w:t>Q2</w:t>
            </w:r>
          </w:p>
        </w:tc>
        <w:tc>
          <w:tcPr>
            <w:tcW w:w="175" w:type="pct"/>
            <w:tcBorders>
              <w:bottom w:val="single" w:sz="4" w:space="0" w:color="auto"/>
            </w:tcBorders>
            <w:shd w:val="clear" w:color="auto" w:fill="CCCCCC"/>
          </w:tcPr>
          <w:p w14:paraId="55EFD01A" w14:textId="77777777" w:rsidR="00E270CF" w:rsidRPr="006A7CDC" w:rsidRDefault="00E270CF" w:rsidP="006A7CDC">
            <w:pPr>
              <w:jc w:val="both"/>
              <w:rPr>
                <w:sz w:val="18"/>
                <w:szCs w:val="18"/>
              </w:rPr>
            </w:pPr>
            <w:r w:rsidRPr="006A7CDC">
              <w:rPr>
                <w:sz w:val="18"/>
                <w:szCs w:val="18"/>
              </w:rPr>
              <w:t>Q3</w:t>
            </w:r>
          </w:p>
        </w:tc>
        <w:tc>
          <w:tcPr>
            <w:tcW w:w="177" w:type="pct"/>
            <w:shd w:val="clear" w:color="auto" w:fill="CCCCCC"/>
          </w:tcPr>
          <w:p w14:paraId="6C0F4790" w14:textId="77777777" w:rsidR="00E270CF" w:rsidRPr="006A7CDC" w:rsidRDefault="00732456" w:rsidP="006A7CDC">
            <w:pPr>
              <w:jc w:val="both"/>
              <w:rPr>
                <w:sz w:val="18"/>
                <w:szCs w:val="18"/>
              </w:rPr>
            </w:pPr>
            <w:r w:rsidRPr="006A7CDC">
              <w:rPr>
                <w:sz w:val="18"/>
                <w:szCs w:val="18"/>
              </w:rPr>
              <w:t>Q4</w:t>
            </w:r>
          </w:p>
        </w:tc>
        <w:tc>
          <w:tcPr>
            <w:tcW w:w="749" w:type="pct"/>
            <w:vMerge/>
          </w:tcPr>
          <w:p w14:paraId="21396284" w14:textId="77777777" w:rsidR="00E270CF" w:rsidRPr="006A7CDC" w:rsidRDefault="00E270CF" w:rsidP="006A7CDC">
            <w:pPr>
              <w:jc w:val="both"/>
              <w:rPr>
                <w:sz w:val="22"/>
                <w:szCs w:val="22"/>
              </w:rPr>
            </w:pPr>
          </w:p>
        </w:tc>
        <w:tc>
          <w:tcPr>
            <w:tcW w:w="268" w:type="pct"/>
            <w:shd w:val="clear" w:color="auto" w:fill="CCCCCC"/>
          </w:tcPr>
          <w:p w14:paraId="31851787" w14:textId="77777777" w:rsidR="00E270CF" w:rsidRPr="006A7CDC" w:rsidRDefault="00E270CF" w:rsidP="006A7CDC">
            <w:pPr>
              <w:jc w:val="both"/>
              <w:rPr>
                <w:sz w:val="20"/>
                <w:szCs w:val="20"/>
              </w:rPr>
            </w:pPr>
            <w:r w:rsidRPr="006A7CDC">
              <w:rPr>
                <w:sz w:val="20"/>
                <w:szCs w:val="20"/>
              </w:rPr>
              <w:t>Source of Fund</w:t>
            </w:r>
          </w:p>
        </w:tc>
        <w:tc>
          <w:tcPr>
            <w:tcW w:w="605" w:type="pct"/>
            <w:shd w:val="clear" w:color="auto" w:fill="CCCCCC"/>
          </w:tcPr>
          <w:p w14:paraId="59E46B03" w14:textId="77777777" w:rsidR="00E270CF" w:rsidRPr="006A7CDC" w:rsidRDefault="00E270CF" w:rsidP="006A7CDC">
            <w:pPr>
              <w:jc w:val="both"/>
              <w:rPr>
                <w:sz w:val="20"/>
                <w:szCs w:val="20"/>
              </w:rPr>
            </w:pPr>
            <w:r w:rsidRPr="006A7CDC">
              <w:rPr>
                <w:sz w:val="20"/>
                <w:szCs w:val="20"/>
              </w:rPr>
              <w:t>Budget Description</w:t>
            </w:r>
          </w:p>
        </w:tc>
        <w:tc>
          <w:tcPr>
            <w:tcW w:w="355" w:type="pct"/>
            <w:shd w:val="clear" w:color="auto" w:fill="CCCCCC"/>
          </w:tcPr>
          <w:p w14:paraId="2AEA2B2E" w14:textId="77777777" w:rsidR="00E270CF" w:rsidRPr="006A7CDC" w:rsidRDefault="00E270CF" w:rsidP="006A7CDC">
            <w:pPr>
              <w:jc w:val="both"/>
              <w:rPr>
                <w:sz w:val="20"/>
                <w:szCs w:val="20"/>
              </w:rPr>
            </w:pPr>
            <w:r w:rsidRPr="006A7CDC">
              <w:rPr>
                <w:sz w:val="20"/>
                <w:szCs w:val="20"/>
              </w:rPr>
              <w:t>Amount</w:t>
            </w:r>
          </w:p>
        </w:tc>
      </w:tr>
      <w:tr w:rsidR="001F54B9" w:rsidRPr="006A7CDC" w14:paraId="7AFCF88E" w14:textId="77777777" w:rsidTr="006B2410">
        <w:trPr>
          <w:cantSplit/>
          <w:trHeight w:val="2060"/>
        </w:trPr>
        <w:tc>
          <w:tcPr>
            <w:tcW w:w="1258" w:type="pct"/>
            <w:vMerge w:val="restart"/>
          </w:tcPr>
          <w:p w14:paraId="07F19DD7" w14:textId="19F762F9" w:rsidR="00E270CF" w:rsidRPr="006A7CDC" w:rsidRDefault="00E270CF" w:rsidP="006A7CDC">
            <w:pPr>
              <w:jc w:val="both"/>
              <w:rPr>
                <w:rFonts w:eastAsia="ArialMT"/>
                <w:i/>
                <w:sz w:val="20"/>
                <w:szCs w:val="20"/>
                <w:lang w:eastAsia="hr-HR"/>
              </w:rPr>
            </w:pPr>
            <w:r w:rsidRPr="006A7CDC">
              <w:rPr>
                <w:b/>
                <w:sz w:val="20"/>
                <w:szCs w:val="20"/>
                <w:lang w:eastAsia="zh-CN"/>
              </w:rPr>
              <w:t>Output 1</w:t>
            </w:r>
            <w:r w:rsidRPr="006A7CDC">
              <w:rPr>
                <w:sz w:val="20"/>
                <w:szCs w:val="20"/>
                <w:lang w:eastAsia="zh-CN"/>
              </w:rPr>
              <w:t xml:space="preserve">: Strengthening Libya’s health system response by equipping Libyan testing, treatment and isolation centres to </w:t>
            </w:r>
            <w:r w:rsidR="009F0DD7">
              <w:rPr>
                <w:sz w:val="20"/>
                <w:szCs w:val="20"/>
                <w:lang w:eastAsia="zh-CN"/>
              </w:rPr>
              <w:t xml:space="preserve">ensure access and </w:t>
            </w:r>
            <w:r w:rsidRPr="006A7CDC">
              <w:rPr>
                <w:sz w:val="20"/>
                <w:szCs w:val="20"/>
                <w:lang w:eastAsia="zh-CN"/>
              </w:rPr>
              <w:t>respon</w:t>
            </w:r>
            <w:r w:rsidR="009F0DD7">
              <w:rPr>
                <w:sz w:val="20"/>
                <w:szCs w:val="20"/>
                <w:lang w:eastAsia="zh-CN"/>
              </w:rPr>
              <w:t>se</w:t>
            </w:r>
            <w:r w:rsidRPr="006A7CDC">
              <w:rPr>
                <w:sz w:val="20"/>
                <w:szCs w:val="20"/>
                <w:lang w:eastAsia="zh-CN"/>
              </w:rPr>
              <w:t xml:space="preserve"> to the COVID-19 epidemic and supporting innovative digital solutions to healthcare gaps</w:t>
            </w:r>
            <w:r w:rsidR="009F0DD7">
              <w:rPr>
                <w:sz w:val="20"/>
                <w:szCs w:val="20"/>
                <w:lang w:eastAsia="zh-CN"/>
              </w:rPr>
              <w:t>.</w:t>
            </w:r>
          </w:p>
          <w:p w14:paraId="5B40E54B" w14:textId="77777777" w:rsidR="00E270CF" w:rsidRPr="006A7CDC" w:rsidRDefault="00E270CF" w:rsidP="006A7CDC">
            <w:pPr>
              <w:jc w:val="both"/>
              <w:rPr>
                <w:rFonts w:eastAsia="ArialMT"/>
                <w:sz w:val="20"/>
                <w:szCs w:val="20"/>
                <w:lang w:eastAsia="hr-HR"/>
              </w:rPr>
            </w:pPr>
          </w:p>
          <w:p w14:paraId="63A9642E" w14:textId="77777777" w:rsidR="00E270CF" w:rsidRPr="006A7CDC" w:rsidRDefault="00E270CF" w:rsidP="006A7CDC">
            <w:pPr>
              <w:ind w:left="1260" w:hanging="1260"/>
              <w:jc w:val="both"/>
              <w:rPr>
                <w:b/>
                <w:i/>
                <w:sz w:val="20"/>
                <w:szCs w:val="20"/>
              </w:rPr>
            </w:pPr>
            <w:r w:rsidRPr="006A7CDC">
              <w:rPr>
                <w:b/>
                <w:i/>
                <w:sz w:val="20"/>
                <w:szCs w:val="20"/>
              </w:rPr>
              <w:t>Indicators:</w:t>
            </w:r>
          </w:p>
          <w:p w14:paraId="7475352A" w14:textId="77777777" w:rsidR="00E270CF" w:rsidRPr="006A7CDC" w:rsidRDefault="00E270CF" w:rsidP="005C34A0">
            <w:pPr>
              <w:numPr>
                <w:ilvl w:val="0"/>
                <w:numId w:val="24"/>
              </w:numPr>
              <w:ind w:left="180" w:hanging="198"/>
              <w:rPr>
                <w:rFonts w:eastAsia="ArialMT"/>
                <w:sz w:val="20"/>
                <w:szCs w:val="20"/>
                <w:lang w:eastAsia="hr-HR"/>
              </w:rPr>
            </w:pPr>
            <w:r w:rsidRPr="006A7CDC">
              <w:rPr>
                <w:rFonts w:eastAsia="ArialMT"/>
                <w:sz w:val="20"/>
                <w:szCs w:val="20"/>
                <w:lang w:eastAsia="hr-HR"/>
              </w:rPr>
              <w:t xml:space="preserve"># of people tested through kits </w:t>
            </w:r>
          </w:p>
          <w:p w14:paraId="4F858125" w14:textId="0983820E" w:rsidR="00E270CF" w:rsidRPr="006A7CDC" w:rsidRDefault="00E270CF" w:rsidP="005C34A0">
            <w:pPr>
              <w:numPr>
                <w:ilvl w:val="0"/>
                <w:numId w:val="24"/>
              </w:numPr>
              <w:ind w:left="180" w:hanging="198"/>
              <w:rPr>
                <w:rFonts w:eastAsia="ArialMT"/>
                <w:sz w:val="20"/>
                <w:szCs w:val="20"/>
                <w:lang w:eastAsia="hr-HR"/>
              </w:rPr>
            </w:pPr>
            <w:r w:rsidRPr="006A7CDC">
              <w:rPr>
                <w:rFonts w:eastAsia="ArialMT"/>
                <w:sz w:val="20"/>
                <w:szCs w:val="20"/>
                <w:lang w:eastAsia="hr-HR"/>
              </w:rPr>
              <w:t xml:space="preserve"># of </w:t>
            </w:r>
            <w:r w:rsidR="00A8774C">
              <w:rPr>
                <w:rFonts w:eastAsia="ArialMT"/>
                <w:sz w:val="20"/>
                <w:szCs w:val="20"/>
                <w:lang w:eastAsia="hr-HR"/>
              </w:rPr>
              <w:t xml:space="preserve">male/female </w:t>
            </w:r>
            <w:r w:rsidRPr="006A7CDC">
              <w:rPr>
                <w:rFonts w:eastAsia="ArialMT"/>
                <w:sz w:val="20"/>
                <w:szCs w:val="20"/>
                <w:lang w:eastAsia="hr-HR"/>
              </w:rPr>
              <w:t>young Libyan entrepreneurs/innovators engaged and supported</w:t>
            </w:r>
          </w:p>
          <w:p w14:paraId="4FB85011" w14:textId="77777777" w:rsidR="00E270CF" w:rsidRPr="006A7CDC" w:rsidRDefault="00E270CF" w:rsidP="006A7CDC">
            <w:pPr>
              <w:ind w:left="1260" w:hanging="1260"/>
              <w:jc w:val="both"/>
              <w:rPr>
                <w:rFonts w:eastAsia="ArialMT"/>
                <w:sz w:val="20"/>
                <w:szCs w:val="20"/>
                <w:lang w:eastAsia="hr-HR"/>
              </w:rPr>
            </w:pPr>
          </w:p>
          <w:p w14:paraId="6CE47E08" w14:textId="77777777" w:rsidR="00E270CF" w:rsidRPr="006A7CDC" w:rsidRDefault="00E270CF" w:rsidP="006A7CDC">
            <w:pPr>
              <w:ind w:left="1260" w:hanging="1260"/>
              <w:jc w:val="both"/>
              <w:rPr>
                <w:b/>
                <w:i/>
                <w:sz w:val="20"/>
                <w:szCs w:val="20"/>
              </w:rPr>
            </w:pPr>
            <w:r w:rsidRPr="006A7CDC">
              <w:rPr>
                <w:b/>
                <w:i/>
                <w:sz w:val="20"/>
                <w:szCs w:val="20"/>
              </w:rPr>
              <w:t>Targets:</w:t>
            </w:r>
          </w:p>
          <w:p w14:paraId="14C3DB4A" w14:textId="77777777" w:rsidR="00E270CF" w:rsidRPr="006A7CDC" w:rsidRDefault="00E270CF" w:rsidP="006A7CDC">
            <w:pPr>
              <w:numPr>
                <w:ilvl w:val="0"/>
                <w:numId w:val="24"/>
              </w:numPr>
              <w:ind w:left="180" w:hanging="198"/>
              <w:jc w:val="both"/>
              <w:rPr>
                <w:sz w:val="20"/>
                <w:szCs w:val="20"/>
              </w:rPr>
            </w:pPr>
            <w:bookmarkStart w:id="10" w:name="_GoBack"/>
            <w:r w:rsidRPr="006A7CDC">
              <w:rPr>
                <w:rFonts w:eastAsia="ArialMT"/>
                <w:sz w:val="20"/>
                <w:szCs w:val="20"/>
                <w:lang w:eastAsia="hr-HR"/>
              </w:rPr>
              <w:t>1</w:t>
            </w:r>
            <w:r w:rsidR="002C59B7" w:rsidRPr="006A7CDC">
              <w:rPr>
                <w:rFonts w:eastAsia="ArialMT"/>
                <w:sz w:val="20"/>
                <w:szCs w:val="20"/>
                <w:lang w:eastAsia="hr-HR"/>
              </w:rPr>
              <w:t>5</w:t>
            </w:r>
            <w:r w:rsidRPr="006A7CDC">
              <w:rPr>
                <w:rFonts w:eastAsia="ArialMT"/>
                <w:sz w:val="20"/>
                <w:szCs w:val="20"/>
                <w:lang w:eastAsia="hr-HR"/>
              </w:rPr>
              <w:t>,</w:t>
            </w:r>
            <w:r w:rsidR="002C59B7" w:rsidRPr="006A7CDC">
              <w:rPr>
                <w:rFonts w:eastAsia="ArialMT"/>
                <w:sz w:val="20"/>
                <w:szCs w:val="20"/>
                <w:lang w:eastAsia="hr-HR"/>
              </w:rPr>
              <w:t>0</w:t>
            </w:r>
            <w:r w:rsidRPr="006A7CDC">
              <w:rPr>
                <w:rFonts w:eastAsia="ArialMT"/>
                <w:sz w:val="20"/>
                <w:szCs w:val="20"/>
                <w:lang w:eastAsia="hr-HR"/>
              </w:rPr>
              <w:t xml:space="preserve">00 test kits and 5 </w:t>
            </w:r>
            <w:proofErr w:type="spellStart"/>
            <w:r w:rsidRPr="006A7CDC">
              <w:rPr>
                <w:rFonts w:eastAsia="ArialMT"/>
                <w:sz w:val="20"/>
                <w:szCs w:val="20"/>
                <w:lang w:eastAsia="hr-HR"/>
              </w:rPr>
              <w:t>GenX</w:t>
            </w:r>
            <w:proofErr w:type="spellEnd"/>
            <w:r w:rsidRPr="006A7CDC">
              <w:rPr>
                <w:rFonts w:eastAsia="ArialMT"/>
                <w:sz w:val="20"/>
                <w:szCs w:val="20"/>
                <w:lang w:eastAsia="hr-HR"/>
              </w:rPr>
              <w:t xml:space="preserve"> machines procured and distributed to centres </w:t>
            </w:r>
          </w:p>
          <w:bookmarkEnd w:id="10"/>
          <w:p w14:paraId="38C06C64" w14:textId="77777777" w:rsidR="00E270CF" w:rsidRPr="006A7CDC" w:rsidRDefault="00353316" w:rsidP="006A7CDC">
            <w:pPr>
              <w:numPr>
                <w:ilvl w:val="0"/>
                <w:numId w:val="24"/>
              </w:numPr>
              <w:ind w:left="180" w:hanging="198"/>
              <w:jc w:val="both"/>
              <w:rPr>
                <w:sz w:val="20"/>
                <w:szCs w:val="20"/>
              </w:rPr>
            </w:pPr>
            <w:r w:rsidRPr="006A7CDC">
              <w:rPr>
                <w:sz w:val="20"/>
                <w:szCs w:val="20"/>
              </w:rPr>
              <w:t>At least one</w:t>
            </w:r>
            <w:r w:rsidR="00E270CF" w:rsidRPr="006A7CDC">
              <w:rPr>
                <w:sz w:val="20"/>
                <w:szCs w:val="20"/>
              </w:rPr>
              <w:t xml:space="preserve"> innovati</w:t>
            </w:r>
            <w:r w:rsidR="006648D7" w:rsidRPr="006A7CDC">
              <w:rPr>
                <w:sz w:val="20"/>
                <w:szCs w:val="20"/>
              </w:rPr>
              <w:t>ve measure</w:t>
            </w:r>
            <w:r w:rsidR="00E270CF" w:rsidRPr="006A7CDC">
              <w:rPr>
                <w:sz w:val="20"/>
                <w:szCs w:val="20"/>
              </w:rPr>
              <w:t xml:space="preserve"> developed, rolled out and communicated through public communications campaigns</w:t>
            </w:r>
          </w:p>
          <w:p w14:paraId="490B0F3F" w14:textId="77777777" w:rsidR="0030338F" w:rsidRPr="006A7CDC" w:rsidRDefault="0030338F" w:rsidP="006A7CDC">
            <w:pPr>
              <w:numPr>
                <w:ilvl w:val="0"/>
                <w:numId w:val="24"/>
              </w:numPr>
              <w:ind w:left="180" w:hanging="198"/>
              <w:jc w:val="both"/>
              <w:rPr>
                <w:sz w:val="20"/>
                <w:szCs w:val="20"/>
              </w:rPr>
            </w:pPr>
            <w:r w:rsidRPr="006A7CDC">
              <w:rPr>
                <w:sz w:val="20"/>
                <w:szCs w:val="20"/>
              </w:rPr>
              <w:t>Expand testing capacity to the marginalized South.</w:t>
            </w:r>
          </w:p>
        </w:tc>
        <w:tc>
          <w:tcPr>
            <w:tcW w:w="1222" w:type="pct"/>
          </w:tcPr>
          <w:p w14:paraId="4854B256" w14:textId="77777777" w:rsidR="00E270CF" w:rsidRPr="006A7CDC" w:rsidRDefault="00E270CF" w:rsidP="006A7CDC">
            <w:pPr>
              <w:jc w:val="both"/>
              <w:rPr>
                <w:sz w:val="22"/>
                <w:szCs w:val="22"/>
                <w:lang w:eastAsia="zh-CN"/>
              </w:rPr>
            </w:pPr>
            <w:r w:rsidRPr="006A7CDC">
              <w:rPr>
                <w:b/>
                <w:sz w:val="22"/>
                <w:szCs w:val="22"/>
                <w:lang w:eastAsia="zh-CN"/>
              </w:rPr>
              <w:t>Activity 1.1</w:t>
            </w:r>
            <w:r w:rsidRPr="006A7CDC">
              <w:rPr>
                <w:sz w:val="22"/>
                <w:szCs w:val="22"/>
                <w:lang w:eastAsia="zh-CN"/>
              </w:rPr>
              <w:t xml:space="preserve"> </w:t>
            </w:r>
          </w:p>
          <w:p w14:paraId="744A6DE6" w14:textId="77777777" w:rsidR="002C59B7" w:rsidRPr="006A7CDC" w:rsidRDefault="00E270CF" w:rsidP="006A7CDC">
            <w:pPr>
              <w:jc w:val="both"/>
              <w:rPr>
                <w:color w:val="000000"/>
                <w:sz w:val="20"/>
                <w:szCs w:val="20"/>
                <w:bdr w:val="none" w:sz="0" w:space="0" w:color="auto" w:frame="1"/>
              </w:rPr>
            </w:pPr>
            <w:r w:rsidRPr="006A7CDC">
              <w:rPr>
                <w:sz w:val="20"/>
                <w:szCs w:val="20"/>
                <w:lang w:eastAsia="zh-CN"/>
              </w:rPr>
              <w:t>Procuring and distributing COVID-19 equipment, to enable COVID-19 diagnosis and treatment</w:t>
            </w:r>
            <w:r w:rsidRPr="006A7CDC">
              <w:rPr>
                <w:color w:val="000000"/>
                <w:sz w:val="20"/>
                <w:szCs w:val="20"/>
                <w:bdr w:val="none" w:sz="0" w:space="0" w:color="auto" w:frame="1"/>
              </w:rPr>
              <w:t xml:space="preserve"> </w:t>
            </w:r>
          </w:p>
          <w:p w14:paraId="6666F688" w14:textId="77777777" w:rsidR="002C59B7" w:rsidRPr="006A7CDC" w:rsidRDefault="002C59B7" w:rsidP="006A7CDC">
            <w:pPr>
              <w:jc w:val="both"/>
              <w:rPr>
                <w:sz w:val="20"/>
                <w:szCs w:val="20"/>
              </w:rPr>
            </w:pPr>
          </w:p>
        </w:tc>
        <w:tc>
          <w:tcPr>
            <w:tcW w:w="190" w:type="pct"/>
          </w:tcPr>
          <w:p w14:paraId="170CA17D" w14:textId="77777777" w:rsidR="00E270CF" w:rsidRPr="006A7CDC" w:rsidRDefault="00E270CF" w:rsidP="006A7CDC">
            <w:pPr>
              <w:jc w:val="both"/>
              <w:rPr>
                <w:sz w:val="20"/>
                <w:szCs w:val="20"/>
                <w:lang w:eastAsia="zh-CN"/>
              </w:rPr>
            </w:pPr>
          </w:p>
          <w:p w14:paraId="5A9C0955" w14:textId="77777777" w:rsidR="00E270CF" w:rsidRPr="006A7CDC" w:rsidRDefault="00E270CF" w:rsidP="006A7CDC">
            <w:pPr>
              <w:jc w:val="both"/>
              <w:rPr>
                <w:sz w:val="20"/>
                <w:szCs w:val="20"/>
                <w:lang w:eastAsia="zh-CN"/>
              </w:rPr>
            </w:pPr>
          </w:p>
          <w:p w14:paraId="2F1EE250" w14:textId="77777777" w:rsidR="00E270CF" w:rsidRPr="006A7CDC" w:rsidRDefault="00E270CF" w:rsidP="006A7CDC">
            <w:pPr>
              <w:jc w:val="both"/>
              <w:rPr>
                <w:sz w:val="20"/>
                <w:szCs w:val="20"/>
                <w:lang w:eastAsia="zh-CN"/>
              </w:rPr>
            </w:pPr>
            <w:r w:rsidRPr="006A7CDC">
              <w:rPr>
                <w:sz w:val="20"/>
                <w:szCs w:val="20"/>
                <w:lang w:eastAsia="zh-CN"/>
              </w:rPr>
              <w:t>X</w:t>
            </w:r>
          </w:p>
        </w:tc>
        <w:tc>
          <w:tcPr>
            <w:tcW w:w="175" w:type="pct"/>
          </w:tcPr>
          <w:p w14:paraId="4EDCE822" w14:textId="77777777" w:rsidR="00E270CF" w:rsidRPr="006A7CDC" w:rsidRDefault="00E270CF" w:rsidP="006A7CDC">
            <w:pPr>
              <w:jc w:val="both"/>
              <w:rPr>
                <w:sz w:val="20"/>
                <w:szCs w:val="20"/>
                <w:lang w:eastAsia="zh-CN"/>
              </w:rPr>
            </w:pPr>
          </w:p>
          <w:p w14:paraId="0BC24EB9" w14:textId="77777777" w:rsidR="00E270CF" w:rsidRPr="006A7CDC" w:rsidRDefault="00E270CF" w:rsidP="006A7CDC">
            <w:pPr>
              <w:jc w:val="both"/>
              <w:rPr>
                <w:sz w:val="20"/>
                <w:szCs w:val="20"/>
                <w:lang w:eastAsia="zh-CN"/>
              </w:rPr>
            </w:pPr>
          </w:p>
          <w:p w14:paraId="3852D80A" w14:textId="77777777" w:rsidR="00E270CF" w:rsidRPr="006A7CDC" w:rsidRDefault="00E270CF" w:rsidP="006A7CDC">
            <w:pPr>
              <w:jc w:val="both"/>
              <w:rPr>
                <w:sz w:val="20"/>
                <w:szCs w:val="20"/>
                <w:lang w:eastAsia="zh-CN"/>
              </w:rPr>
            </w:pPr>
            <w:r w:rsidRPr="006A7CDC">
              <w:rPr>
                <w:sz w:val="20"/>
                <w:szCs w:val="20"/>
                <w:lang w:eastAsia="zh-CN"/>
              </w:rPr>
              <w:t>X</w:t>
            </w:r>
          </w:p>
        </w:tc>
        <w:tc>
          <w:tcPr>
            <w:tcW w:w="177" w:type="pct"/>
          </w:tcPr>
          <w:p w14:paraId="5D36C063" w14:textId="77777777" w:rsidR="00E270CF" w:rsidRPr="006A7CDC" w:rsidRDefault="00E270CF" w:rsidP="006A7CDC">
            <w:pPr>
              <w:jc w:val="both"/>
              <w:rPr>
                <w:sz w:val="20"/>
                <w:szCs w:val="20"/>
                <w:lang w:eastAsia="zh-CN"/>
              </w:rPr>
            </w:pPr>
          </w:p>
        </w:tc>
        <w:tc>
          <w:tcPr>
            <w:tcW w:w="749" w:type="pct"/>
          </w:tcPr>
          <w:p w14:paraId="187F7E1E" w14:textId="77777777" w:rsidR="00E270CF" w:rsidRPr="006A7CDC" w:rsidRDefault="00E270CF" w:rsidP="006A7CDC">
            <w:pPr>
              <w:jc w:val="both"/>
              <w:rPr>
                <w:sz w:val="20"/>
                <w:szCs w:val="20"/>
                <w:lang w:eastAsia="zh-CN"/>
              </w:rPr>
            </w:pPr>
          </w:p>
          <w:p w14:paraId="6E160ACE" w14:textId="77777777" w:rsidR="00E270CF" w:rsidRPr="006A7CDC" w:rsidRDefault="00E270CF" w:rsidP="006A7CDC">
            <w:pPr>
              <w:jc w:val="both"/>
              <w:rPr>
                <w:sz w:val="20"/>
                <w:szCs w:val="20"/>
                <w:lang w:eastAsia="zh-CN"/>
              </w:rPr>
            </w:pPr>
          </w:p>
          <w:p w14:paraId="5EA96CBB" w14:textId="77777777" w:rsidR="00E270CF" w:rsidRPr="006A7CDC" w:rsidRDefault="00E270CF" w:rsidP="006A7CDC">
            <w:pPr>
              <w:jc w:val="both"/>
              <w:rPr>
                <w:sz w:val="20"/>
                <w:szCs w:val="20"/>
                <w:lang w:eastAsia="zh-CN"/>
              </w:rPr>
            </w:pPr>
            <w:r w:rsidRPr="006A7CDC">
              <w:rPr>
                <w:sz w:val="20"/>
                <w:szCs w:val="20"/>
                <w:lang w:eastAsia="zh-CN"/>
              </w:rPr>
              <w:t xml:space="preserve">UNDP, (with WHO and </w:t>
            </w:r>
            <w:proofErr w:type="spellStart"/>
            <w:r w:rsidRPr="006A7CDC">
              <w:rPr>
                <w:sz w:val="20"/>
                <w:szCs w:val="20"/>
                <w:lang w:eastAsia="zh-CN"/>
              </w:rPr>
              <w:t>MoH</w:t>
            </w:r>
            <w:proofErr w:type="spellEnd"/>
            <w:r w:rsidRPr="006A7CDC">
              <w:rPr>
                <w:sz w:val="20"/>
                <w:szCs w:val="20"/>
                <w:lang w:eastAsia="zh-CN"/>
              </w:rPr>
              <w:t xml:space="preserve">) </w:t>
            </w:r>
          </w:p>
        </w:tc>
        <w:tc>
          <w:tcPr>
            <w:tcW w:w="268" w:type="pct"/>
            <w:vMerge w:val="restart"/>
          </w:tcPr>
          <w:p w14:paraId="24BD315B" w14:textId="77777777" w:rsidR="00E270CF" w:rsidRPr="006A7CDC" w:rsidRDefault="00E270CF" w:rsidP="006A7CDC">
            <w:pPr>
              <w:jc w:val="both"/>
              <w:rPr>
                <w:sz w:val="20"/>
                <w:szCs w:val="20"/>
                <w:lang w:eastAsia="zh-CN"/>
              </w:rPr>
            </w:pPr>
          </w:p>
          <w:p w14:paraId="091B275C" w14:textId="77777777" w:rsidR="00E270CF" w:rsidRPr="006A7CDC" w:rsidRDefault="00E270CF" w:rsidP="006A7CDC">
            <w:pPr>
              <w:jc w:val="both"/>
              <w:rPr>
                <w:sz w:val="20"/>
                <w:szCs w:val="20"/>
                <w:lang w:eastAsia="zh-CN"/>
              </w:rPr>
            </w:pPr>
          </w:p>
          <w:p w14:paraId="71C1A9D8" w14:textId="77777777" w:rsidR="00E270CF" w:rsidRPr="006A7CDC" w:rsidRDefault="00E270CF" w:rsidP="006A7CDC">
            <w:pPr>
              <w:jc w:val="both"/>
              <w:rPr>
                <w:sz w:val="20"/>
                <w:szCs w:val="20"/>
                <w:lang w:eastAsia="zh-CN"/>
              </w:rPr>
            </w:pPr>
            <w:r w:rsidRPr="006A7CDC">
              <w:rPr>
                <w:sz w:val="20"/>
                <w:szCs w:val="20"/>
                <w:lang w:eastAsia="zh-CN"/>
              </w:rPr>
              <w:t>RRF</w:t>
            </w:r>
          </w:p>
        </w:tc>
        <w:tc>
          <w:tcPr>
            <w:tcW w:w="605" w:type="pct"/>
            <w:vMerge w:val="restart"/>
          </w:tcPr>
          <w:p w14:paraId="2D9DB0DE" w14:textId="77777777" w:rsidR="00E270CF" w:rsidRPr="006A7CDC" w:rsidRDefault="00E270CF" w:rsidP="006A7CDC">
            <w:pPr>
              <w:jc w:val="both"/>
              <w:rPr>
                <w:sz w:val="20"/>
                <w:szCs w:val="20"/>
                <w:lang w:eastAsia="zh-CN"/>
              </w:rPr>
            </w:pPr>
          </w:p>
          <w:p w14:paraId="1596EF9F" w14:textId="77777777" w:rsidR="00E270CF" w:rsidRPr="006A7CDC" w:rsidRDefault="00E270CF" w:rsidP="006A7CDC">
            <w:pPr>
              <w:jc w:val="both"/>
              <w:rPr>
                <w:sz w:val="20"/>
                <w:szCs w:val="20"/>
                <w:lang w:eastAsia="zh-CN"/>
              </w:rPr>
            </w:pPr>
          </w:p>
          <w:p w14:paraId="5A73585D" w14:textId="77777777" w:rsidR="00E270CF" w:rsidRPr="006A7CDC" w:rsidRDefault="00E270CF" w:rsidP="006A7CDC">
            <w:pPr>
              <w:jc w:val="both"/>
              <w:rPr>
                <w:sz w:val="20"/>
                <w:szCs w:val="20"/>
                <w:lang w:eastAsia="zh-CN"/>
              </w:rPr>
            </w:pPr>
            <w:r w:rsidRPr="006A7CDC">
              <w:rPr>
                <w:sz w:val="20"/>
                <w:szCs w:val="20"/>
                <w:lang w:eastAsia="zh-CN"/>
              </w:rPr>
              <w:t>Test kits</w:t>
            </w:r>
          </w:p>
          <w:p w14:paraId="1611CB11" w14:textId="77777777" w:rsidR="00E270CF" w:rsidRPr="006A7CDC" w:rsidRDefault="00E270CF" w:rsidP="006A7CDC">
            <w:pPr>
              <w:jc w:val="both"/>
              <w:rPr>
                <w:sz w:val="20"/>
                <w:szCs w:val="20"/>
                <w:lang w:eastAsia="zh-CN"/>
              </w:rPr>
            </w:pPr>
          </w:p>
          <w:p w14:paraId="43A81880" w14:textId="77777777" w:rsidR="00E270CF" w:rsidRPr="006A7CDC" w:rsidRDefault="00E270CF" w:rsidP="006A7CDC">
            <w:pPr>
              <w:jc w:val="both"/>
              <w:rPr>
                <w:sz w:val="20"/>
                <w:szCs w:val="20"/>
                <w:lang w:eastAsia="zh-CN"/>
              </w:rPr>
            </w:pPr>
            <w:proofErr w:type="spellStart"/>
            <w:r w:rsidRPr="006A7CDC">
              <w:rPr>
                <w:sz w:val="20"/>
                <w:szCs w:val="20"/>
                <w:lang w:eastAsia="zh-CN"/>
              </w:rPr>
              <w:t>GenX</w:t>
            </w:r>
            <w:proofErr w:type="spellEnd"/>
            <w:r w:rsidRPr="006A7CDC">
              <w:rPr>
                <w:sz w:val="20"/>
                <w:szCs w:val="20"/>
                <w:lang w:eastAsia="zh-CN"/>
              </w:rPr>
              <w:t xml:space="preserve"> machines</w:t>
            </w:r>
          </w:p>
          <w:p w14:paraId="22C0D1B9" w14:textId="77777777" w:rsidR="00E270CF" w:rsidRPr="006A7CDC" w:rsidRDefault="00E270CF" w:rsidP="006A7CDC">
            <w:pPr>
              <w:jc w:val="both"/>
              <w:rPr>
                <w:sz w:val="20"/>
                <w:szCs w:val="20"/>
                <w:lang w:eastAsia="zh-CN"/>
              </w:rPr>
            </w:pPr>
          </w:p>
          <w:p w14:paraId="5A3A7D46" w14:textId="77777777" w:rsidR="00E270CF" w:rsidRPr="006A7CDC" w:rsidRDefault="00E270CF" w:rsidP="006A7CDC">
            <w:pPr>
              <w:jc w:val="both"/>
              <w:rPr>
                <w:sz w:val="20"/>
                <w:szCs w:val="20"/>
                <w:lang w:eastAsia="zh-CN"/>
              </w:rPr>
            </w:pPr>
          </w:p>
          <w:p w14:paraId="10E4C2D2" w14:textId="77777777" w:rsidR="00E270CF" w:rsidRPr="006A7CDC" w:rsidRDefault="00E270CF" w:rsidP="006A7CDC">
            <w:pPr>
              <w:jc w:val="both"/>
              <w:rPr>
                <w:sz w:val="20"/>
                <w:szCs w:val="20"/>
                <w:lang w:eastAsia="zh-CN"/>
              </w:rPr>
            </w:pPr>
          </w:p>
          <w:p w14:paraId="3312A458" w14:textId="77777777" w:rsidR="00E270CF" w:rsidRPr="006A7CDC" w:rsidRDefault="00E270CF" w:rsidP="006A7CDC">
            <w:pPr>
              <w:jc w:val="both"/>
              <w:rPr>
                <w:sz w:val="20"/>
                <w:szCs w:val="20"/>
                <w:lang w:eastAsia="zh-CN"/>
              </w:rPr>
            </w:pPr>
          </w:p>
          <w:p w14:paraId="6D378454" w14:textId="77777777" w:rsidR="00E270CF" w:rsidRPr="006A7CDC" w:rsidRDefault="00E270CF" w:rsidP="006A7CDC">
            <w:pPr>
              <w:jc w:val="both"/>
              <w:rPr>
                <w:sz w:val="20"/>
                <w:szCs w:val="20"/>
                <w:lang w:eastAsia="zh-CN"/>
              </w:rPr>
            </w:pPr>
            <w:r w:rsidRPr="006A7CDC">
              <w:rPr>
                <w:sz w:val="20"/>
                <w:szCs w:val="20"/>
                <w:lang w:eastAsia="zh-CN"/>
              </w:rPr>
              <w:t xml:space="preserve">Coordination meetings, workshops and consultation meetings </w:t>
            </w:r>
          </w:p>
          <w:p w14:paraId="05DC8BD9" w14:textId="77777777" w:rsidR="00E270CF" w:rsidRPr="006A7CDC" w:rsidRDefault="00E270CF" w:rsidP="006A7CDC">
            <w:pPr>
              <w:jc w:val="both"/>
              <w:rPr>
                <w:sz w:val="20"/>
                <w:szCs w:val="20"/>
                <w:lang w:eastAsia="zh-CN"/>
              </w:rPr>
            </w:pPr>
          </w:p>
          <w:p w14:paraId="78EDA4B9" w14:textId="77777777" w:rsidR="00E270CF" w:rsidRPr="006A7CDC" w:rsidRDefault="00E270CF" w:rsidP="006A7CDC">
            <w:pPr>
              <w:jc w:val="both"/>
              <w:rPr>
                <w:sz w:val="20"/>
                <w:szCs w:val="20"/>
                <w:lang w:eastAsia="zh-CN"/>
              </w:rPr>
            </w:pPr>
            <w:r w:rsidRPr="006A7CDC">
              <w:rPr>
                <w:sz w:val="20"/>
                <w:szCs w:val="20"/>
                <w:lang w:eastAsia="zh-CN"/>
              </w:rPr>
              <w:t>Translation and printing costs</w:t>
            </w:r>
          </w:p>
          <w:p w14:paraId="4FD54371" w14:textId="77777777" w:rsidR="00E270CF" w:rsidRPr="006A7CDC" w:rsidRDefault="00E270CF" w:rsidP="006A7CDC">
            <w:pPr>
              <w:jc w:val="both"/>
              <w:rPr>
                <w:sz w:val="20"/>
                <w:szCs w:val="20"/>
                <w:lang w:eastAsia="zh-CN"/>
              </w:rPr>
            </w:pPr>
          </w:p>
          <w:p w14:paraId="4389382B" w14:textId="77777777" w:rsidR="00E270CF" w:rsidRPr="006A7CDC" w:rsidRDefault="00E270CF" w:rsidP="006A7CDC">
            <w:pPr>
              <w:jc w:val="both"/>
              <w:rPr>
                <w:sz w:val="20"/>
                <w:szCs w:val="20"/>
                <w:lang w:eastAsia="zh-CN"/>
              </w:rPr>
            </w:pPr>
            <w:r w:rsidRPr="006A7CDC">
              <w:rPr>
                <w:sz w:val="20"/>
                <w:szCs w:val="20"/>
                <w:lang w:eastAsia="zh-CN"/>
              </w:rPr>
              <w:t>App development costs</w:t>
            </w:r>
          </w:p>
          <w:p w14:paraId="023C959A" w14:textId="77777777" w:rsidR="00E270CF" w:rsidRPr="006A7CDC" w:rsidRDefault="00E270CF" w:rsidP="006A7CDC">
            <w:pPr>
              <w:jc w:val="both"/>
              <w:rPr>
                <w:sz w:val="20"/>
                <w:szCs w:val="20"/>
                <w:lang w:eastAsia="zh-CN"/>
              </w:rPr>
            </w:pPr>
          </w:p>
          <w:p w14:paraId="6943EF76" w14:textId="77777777" w:rsidR="00E270CF" w:rsidRPr="006A7CDC" w:rsidRDefault="00E270CF" w:rsidP="006A7CDC">
            <w:pPr>
              <w:jc w:val="both"/>
              <w:rPr>
                <w:sz w:val="20"/>
                <w:szCs w:val="20"/>
                <w:lang w:eastAsia="zh-CN"/>
              </w:rPr>
            </w:pPr>
            <w:r w:rsidRPr="006A7CDC">
              <w:rPr>
                <w:sz w:val="20"/>
                <w:szCs w:val="20"/>
                <w:lang w:eastAsia="zh-CN"/>
              </w:rPr>
              <w:t>Equipment</w:t>
            </w:r>
          </w:p>
        </w:tc>
        <w:tc>
          <w:tcPr>
            <w:tcW w:w="355" w:type="pct"/>
            <w:vMerge w:val="restart"/>
          </w:tcPr>
          <w:p w14:paraId="6E467CC0" w14:textId="77777777" w:rsidR="00E270CF" w:rsidRPr="006A7CDC" w:rsidRDefault="00E270CF" w:rsidP="006A7CDC">
            <w:pPr>
              <w:jc w:val="both"/>
              <w:rPr>
                <w:sz w:val="20"/>
                <w:szCs w:val="20"/>
                <w:lang w:eastAsia="zh-CN"/>
              </w:rPr>
            </w:pPr>
          </w:p>
          <w:p w14:paraId="212CBE66" w14:textId="77777777" w:rsidR="00E270CF" w:rsidRPr="006A7CDC" w:rsidRDefault="00E270CF" w:rsidP="006A7CDC">
            <w:pPr>
              <w:jc w:val="both"/>
              <w:rPr>
                <w:sz w:val="20"/>
                <w:szCs w:val="20"/>
                <w:lang w:eastAsia="zh-CN"/>
              </w:rPr>
            </w:pPr>
          </w:p>
          <w:p w14:paraId="744E53BA" w14:textId="77777777" w:rsidR="00E270CF" w:rsidRPr="006A7CDC" w:rsidRDefault="00E270CF" w:rsidP="006A7CDC">
            <w:pPr>
              <w:jc w:val="both"/>
              <w:rPr>
                <w:sz w:val="20"/>
                <w:szCs w:val="20"/>
                <w:lang w:eastAsia="zh-CN"/>
              </w:rPr>
            </w:pPr>
            <w:r w:rsidRPr="006A7CDC">
              <w:rPr>
                <w:sz w:val="20"/>
                <w:szCs w:val="20"/>
                <w:lang w:eastAsia="zh-CN"/>
              </w:rPr>
              <w:t>200,000</w:t>
            </w:r>
          </w:p>
          <w:p w14:paraId="7BEF0439" w14:textId="77777777" w:rsidR="00E270CF" w:rsidRPr="006A7CDC" w:rsidRDefault="00E270CF" w:rsidP="006A7CDC">
            <w:pPr>
              <w:jc w:val="both"/>
              <w:rPr>
                <w:sz w:val="20"/>
                <w:szCs w:val="20"/>
                <w:lang w:eastAsia="zh-CN"/>
              </w:rPr>
            </w:pPr>
          </w:p>
          <w:p w14:paraId="1B81F013" w14:textId="77777777" w:rsidR="00E270CF" w:rsidRPr="006A7CDC" w:rsidRDefault="00E270CF" w:rsidP="006A7CDC">
            <w:pPr>
              <w:jc w:val="both"/>
              <w:rPr>
                <w:sz w:val="20"/>
                <w:szCs w:val="20"/>
                <w:lang w:eastAsia="zh-CN"/>
              </w:rPr>
            </w:pPr>
          </w:p>
          <w:p w14:paraId="62E3DBFF" w14:textId="77777777" w:rsidR="00E270CF" w:rsidRPr="006A7CDC" w:rsidRDefault="00E270CF" w:rsidP="006A7CDC">
            <w:pPr>
              <w:jc w:val="both"/>
              <w:rPr>
                <w:sz w:val="20"/>
                <w:szCs w:val="20"/>
                <w:lang w:eastAsia="zh-CN"/>
              </w:rPr>
            </w:pPr>
          </w:p>
          <w:p w14:paraId="5A7BB055" w14:textId="77777777" w:rsidR="00E270CF" w:rsidRPr="006A7CDC" w:rsidRDefault="00E270CF" w:rsidP="006A7CDC">
            <w:pPr>
              <w:jc w:val="both"/>
              <w:rPr>
                <w:sz w:val="20"/>
                <w:szCs w:val="20"/>
                <w:lang w:eastAsia="zh-CN"/>
              </w:rPr>
            </w:pPr>
          </w:p>
          <w:p w14:paraId="56289FE5" w14:textId="77777777" w:rsidR="00E270CF" w:rsidRDefault="00E270CF" w:rsidP="006A7CDC">
            <w:pPr>
              <w:jc w:val="both"/>
              <w:rPr>
                <w:sz w:val="20"/>
                <w:szCs w:val="20"/>
                <w:lang w:eastAsia="zh-CN"/>
              </w:rPr>
            </w:pPr>
          </w:p>
          <w:p w14:paraId="6F8AE70F" w14:textId="77777777" w:rsidR="00584D1C" w:rsidRPr="006A7CDC" w:rsidRDefault="00584D1C" w:rsidP="006A7CDC">
            <w:pPr>
              <w:jc w:val="both"/>
              <w:rPr>
                <w:sz w:val="20"/>
                <w:szCs w:val="20"/>
                <w:lang w:eastAsia="zh-CN"/>
              </w:rPr>
            </w:pPr>
          </w:p>
          <w:p w14:paraId="3ECF269B" w14:textId="77777777" w:rsidR="00E270CF" w:rsidRPr="006A7CDC" w:rsidRDefault="00E270CF" w:rsidP="006A7CDC">
            <w:pPr>
              <w:jc w:val="both"/>
              <w:rPr>
                <w:sz w:val="20"/>
                <w:szCs w:val="20"/>
                <w:lang w:eastAsia="zh-CN"/>
              </w:rPr>
            </w:pPr>
            <w:r w:rsidRPr="006A7CDC">
              <w:rPr>
                <w:sz w:val="20"/>
                <w:szCs w:val="20"/>
                <w:lang w:eastAsia="zh-CN"/>
              </w:rPr>
              <w:t>50,000</w:t>
            </w:r>
          </w:p>
          <w:p w14:paraId="2C08E166" w14:textId="77777777" w:rsidR="00E270CF" w:rsidRPr="006A7CDC" w:rsidRDefault="00E270CF" w:rsidP="006A7CDC">
            <w:pPr>
              <w:jc w:val="both"/>
              <w:rPr>
                <w:sz w:val="20"/>
                <w:szCs w:val="20"/>
                <w:lang w:eastAsia="zh-CN"/>
              </w:rPr>
            </w:pPr>
          </w:p>
          <w:p w14:paraId="6BBBDEC4" w14:textId="77777777" w:rsidR="00E270CF" w:rsidRPr="006A7CDC" w:rsidRDefault="00E270CF" w:rsidP="006A7CDC">
            <w:pPr>
              <w:jc w:val="both"/>
              <w:rPr>
                <w:sz w:val="20"/>
                <w:szCs w:val="20"/>
                <w:lang w:eastAsia="zh-CN"/>
              </w:rPr>
            </w:pPr>
          </w:p>
          <w:p w14:paraId="215E07CE" w14:textId="77777777" w:rsidR="00E270CF" w:rsidRPr="006A7CDC" w:rsidRDefault="00E270CF" w:rsidP="006A7CDC">
            <w:pPr>
              <w:jc w:val="both"/>
              <w:rPr>
                <w:sz w:val="20"/>
                <w:szCs w:val="20"/>
                <w:lang w:eastAsia="zh-CN"/>
              </w:rPr>
            </w:pPr>
          </w:p>
          <w:p w14:paraId="2F5E3464" w14:textId="77777777" w:rsidR="00E270CF" w:rsidRPr="006A7CDC" w:rsidRDefault="00E270CF" w:rsidP="006A7CDC">
            <w:pPr>
              <w:jc w:val="both"/>
              <w:rPr>
                <w:sz w:val="20"/>
                <w:szCs w:val="20"/>
                <w:lang w:eastAsia="zh-CN"/>
              </w:rPr>
            </w:pPr>
          </w:p>
          <w:p w14:paraId="4C0CAFE7" w14:textId="77777777" w:rsidR="00E270CF" w:rsidRPr="006A7CDC" w:rsidRDefault="00E270CF" w:rsidP="006A7CDC">
            <w:pPr>
              <w:jc w:val="both"/>
              <w:rPr>
                <w:sz w:val="20"/>
                <w:szCs w:val="20"/>
                <w:lang w:eastAsia="zh-CN"/>
              </w:rPr>
            </w:pPr>
          </w:p>
          <w:p w14:paraId="1DC50703" w14:textId="77777777" w:rsidR="00E270CF" w:rsidRPr="006A7CDC" w:rsidRDefault="00E270CF" w:rsidP="006A7CDC">
            <w:pPr>
              <w:jc w:val="both"/>
              <w:rPr>
                <w:sz w:val="20"/>
                <w:szCs w:val="20"/>
                <w:lang w:eastAsia="zh-CN"/>
              </w:rPr>
            </w:pPr>
          </w:p>
          <w:p w14:paraId="2AAACC9E" w14:textId="77777777" w:rsidR="00E270CF" w:rsidRPr="006A7CDC" w:rsidRDefault="00E270CF" w:rsidP="006A7CDC">
            <w:pPr>
              <w:jc w:val="both"/>
              <w:rPr>
                <w:sz w:val="20"/>
                <w:szCs w:val="20"/>
                <w:lang w:eastAsia="zh-CN"/>
              </w:rPr>
            </w:pPr>
          </w:p>
          <w:p w14:paraId="75788AA8" w14:textId="77777777" w:rsidR="00E270CF" w:rsidRPr="006A7CDC" w:rsidRDefault="00E270CF" w:rsidP="006A7CDC">
            <w:pPr>
              <w:jc w:val="both"/>
              <w:rPr>
                <w:sz w:val="20"/>
                <w:szCs w:val="20"/>
                <w:lang w:eastAsia="zh-CN"/>
              </w:rPr>
            </w:pPr>
          </w:p>
          <w:p w14:paraId="2C6C5741" w14:textId="77777777" w:rsidR="00E270CF" w:rsidRPr="006A7CDC" w:rsidRDefault="00E270CF" w:rsidP="006A7CDC">
            <w:pPr>
              <w:jc w:val="both"/>
              <w:rPr>
                <w:sz w:val="20"/>
                <w:szCs w:val="20"/>
                <w:lang w:eastAsia="zh-CN"/>
              </w:rPr>
            </w:pPr>
          </w:p>
          <w:p w14:paraId="535C14C8" w14:textId="77777777" w:rsidR="00E270CF" w:rsidRPr="006A7CDC" w:rsidRDefault="00E270CF" w:rsidP="006A7CDC">
            <w:pPr>
              <w:jc w:val="both"/>
              <w:rPr>
                <w:sz w:val="20"/>
                <w:szCs w:val="20"/>
                <w:lang w:eastAsia="zh-CN"/>
              </w:rPr>
            </w:pPr>
          </w:p>
          <w:p w14:paraId="0E961107" w14:textId="77777777" w:rsidR="00E270CF" w:rsidRPr="006A7CDC" w:rsidRDefault="00E270CF" w:rsidP="006A7CDC">
            <w:pPr>
              <w:jc w:val="both"/>
              <w:rPr>
                <w:sz w:val="20"/>
                <w:szCs w:val="20"/>
                <w:lang w:eastAsia="zh-CN"/>
              </w:rPr>
            </w:pPr>
          </w:p>
          <w:p w14:paraId="2E180140" w14:textId="77777777" w:rsidR="00E270CF" w:rsidRPr="006A7CDC" w:rsidRDefault="00E270CF" w:rsidP="006A7CDC">
            <w:pPr>
              <w:jc w:val="both"/>
              <w:rPr>
                <w:sz w:val="20"/>
                <w:szCs w:val="20"/>
                <w:lang w:eastAsia="zh-CN"/>
              </w:rPr>
            </w:pPr>
          </w:p>
          <w:p w14:paraId="69F4C791" w14:textId="77777777" w:rsidR="00E270CF" w:rsidRPr="006A7CDC" w:rsidRDefault="00E270CF" w:rsidP="006A7CDC">
            <w:pPr>
              <w:jc w:val="both"/>
              <w:rPr>
                <w:sz w:val="20"/>
                <w:szCs w:val="20"/>
                <w:lang w:eastAsia="zh-CN"/>
              </w:rPr>
            </w:pPr>
          </w:p>
          <w:p w14:paraId="6E990547" w14:textId="77777777" w:rsidR="00E270CF" w:rsidRPr="006A7CDC" w:rsidRDefault="00E270CF" w:rsidP="006A7CDC">
            <w:pPr>
              <w:jc w:val="both"/>
              <w:rPr>
                <w:sz w:val="20"/>
                <w:szCs w:val="20"/>
                <w:lang w:eastAsia="zh-CN"/>
              </w:rPr>
            </w:pPr>
          </w:p>
          <w:p w14:paraId="7F6C5B71" w14:textId="77777777" w:rsidR="00E270CF" w:rsidRPr="006A7CDC" w:rsidRDefault="00E270CF" w:rsidP="006A7CDC">
            <w:pPr>
              <w:jc w:val="both"/>
              <w:rPr>
                <w:sz w:val="20"/>
                <w:szCs w:val="20"/>
                <w:lang w:eastAsia="zh-CN"/>
              </w:rPr>
            </w:pPr>
          </w:p>
        </w:tc>
      </w:tr>
      <w:tr w:rsidR="001F54B9" w:rsidRPr="006A7CDC" w14:paraId="28CF1F9A" w14:textId="77777777" w:rsidTr="006B2410">
        <w:trPr>
          <w:cantSplit/>
          <w:trHeight w:val="5750"/>
        </w:trPr>
        <w:tc>
          <w:tcPr>
            <w:tcW w:w="1258" w:type="pct"/>
            <w:vMerge/>
          </w:tcPr>
          <w:p w14:paraId="55D85F30" w14:textId="77777777" w:rsidR="00E270CF" w:rsidRPr="006A7CDC" w:rsidRDefault="00E270CF" w:rsidP="006A7CDC">
            <w:pPr>
              <w:jc w:val="both"/>
              <w:rPr>
                <w:sz w:val="20"/>
                <w:szCs w:val="20"/>
              </w:rPr>
            </w:pPr>
          </w:p>
        </w:tc>
        <w:tc>
          <w:tcPr>
            <w:tcW w:w="1222" w:type="pct"/>
          </w:tcPr>
          <w:p w14:paraId="68C89B29" w14:textId="77777777" w:rsidR="00E270CF" w:rsidRPr="006A7CDC" w:rsidRDefault="00E270CF" w:rsidP="006A7CDC">
            <w:pPr>
              <w:jc w:val="both"/>
              <w:rPr>
                <w:sz w:val="20"/>
                <w:szCs w:val="20"/>
                <w:lang w:eastAsia="zh-CN"/>
              </w:rPr>
            </w:pPr>
            <w:r w:rsidRPr="006A7CDC">
              <w:rPr>
                <w:b/>
                <w:sz w:val="20"/>
                <w:szCs w:val="20"/>
                <w:lang w:eastAsia="zh-CN"/>
              </w:rPr>
              <w:t>Activity 1.2</w:t>
            </w:r>
            <w:r w:rsidRPr="006A7CDC">
              <w:rPr>
                <w:sz w:val="20"/>
                <w:szCs w:val="20"/>
                <w:lang w:eastAsia="zh-CN"/>
              </w:rPr>
              <w:t xml:space="preserve"> </w:t>
            </w:r>
          </w:p>
          <w:p w14:paraId="72F57538" w14:textId="21C08FD0" w:rsidR="00E270CF" w:rsidRPr="006A7CDC" w:rsidRDefault="596404CD" w:rsidP="005C34A0">
            <w:pPr>
              <w:rPr>
                <w:sz w:val="20"/>
                <w:szCs w:val="20"/>
                <w:lang w:eastAsia="zh-CN"/>
              </w:rPr>
            </w:pPr>
            <w:r w:rsidRPr="6DBDFD51">
              <w:rPr>
                <w:sz w:val="20"/>
                <w:szCs w:val="20"/>
                <w:lang w:eastAsia="zh-CN"/>
              </w:rPr>
              <w:t xml:space="preserve">Engage young Libyan entrepreneurs/innovators </w:t>
            </w:r>
            <w:r w:rsidR="511DD9FC" w:rsidRPr="6DBDFD51">
              <w:rPr>
                <w:sz w:val="20"/>
                <w:szCs w:val="20"/>
                <w:lang w:eastAsia="zh-CN"/>
              </w:rPr>
              <w:t xml:space="preserve">women and men </w:t>
            </w:r>
            <w:r w:rsidR="006A7CDC" w:rsidRPr="6DBDFD51">
              <w:rPr>
                <w:sz w:val="20"/>
                <w:szCs w:val="20"/>
                <w:lang w:eastAsia="zh-CN"/>
              </w:rPr>
              <w:t xml:space="preserve">(Accelerator Lab) </w:t>
            </w:r>
            <w:r w:rsidRPr="6DBDFD51">
              <w:rPr>
                <w:sz w:val="20"/>
                <w:szCs w:val="20"/>
                <w:lang w:eastAsia="zh-CN"/>
              </w:rPr>
              <w:t xml:space="preserve">in innovative measures to tackle the spread of COVID-19, including  through the development of an application to set up a Telemedicine system to enable physician diagnosis and treatment of vulnerable </w:t>
            </w:r>
            <w:r w:rsidRPr="00905357">
              <w:rPr>
                <w:sz w:val="20"/>
                <w:szCs w:val="20"/>
                <w:lang w:eastAsia="zh-CN"/>
              </w:rPr>
              <w:t xml:space="preserve">populations, </w:t>
            </w:r>
            <w:r w:rsidR="00435FE9" w:rsidRPr="00905357">
              <w:rPr>
                <w:sz w:val="20"/>
                <w:szCs w:val="20"/>
                <w:lang w:eastAsia="zh-CN"/>
              </w:rPr>
              <w:t xml:space="preserve">as well as patient follow-up, </w:t>
            </w:r>
            <w:r w:rsidRPr="00905357">
              <w:rPr>
                <w:sz w:val="20"/>
                <w:szCs w:val="20"/>
                <w:lang w:eastAsia="zh-CN"/>
              </w:rPr>
              <w:t>especially women</w:t>
            </w:r>
            <w:r w:rsidR="0E50488D" w:rsidRPr="00905357">
              <w:rPr>
                <w:sz w:val="20"/>
                <w:szCs w:val="20"/>
                <w:lang w:eastAsia="zh-CN"/>
              </w:rPr>
              <w:t xml:space="preserve">, the elderly and PWDs, </w:t>
            </w:r>
            <w:r w:rsidRPr="00905357">
              <w:rPr>
                <w:sz w:val="20"/>
                <w:szCs w:val="20"/>
                <w:lang w:eastAsia="zh-CN"/>
              </w:rPr>
              <w:t xml:space="preserve"> and</w:t>
            </w:r>
            <w:r w:rsidRPr="6DBDFD51">
              <w:rPr>
                <w:sz w:val="20"/>
                <w:szCs w:val="20"/>
                <w:lang w:eastAsia="zh-CN"/>
              </w:rPr>
              <w:t xml:space="preserve"> migrants, in remote areas; supporting Libyan National Robotics team in producing 3D printed PPEs.    </w:t>
            </w:r>
            <w:r w:rsidR="7FCDA851" w:rsidRPr="6DBDFD51">
              <w:rPr>
                <w:sz w:val="20"/>
                <w:szCs w:val="20"/>
                <w:lang w:eastAsia="zh-CN"/>
              </w:rPr>
              <w:t xml:space="preserve">suggest adding a simpler more locally feasible production of masks/clothing/sanitiser if possible. </w:t>
            </w:r>
          </w:p>
          <w:p w14:paraId="4D9ED2D0" w14:textId="77777777" w:rsidR="00E270CF" w:rsidRPr="006A7CDC" w:rsidRDefault="00E270CF" w:rsidP="006A7CDC">
            <w:pPr>
              <w:jc w:val="both"/>
              <w:rPr>
                <w:sz w:val="20"/>
                <w:szCs w:val="20"/>
                <w:lang w:eastAsia="zh-CN"/>
              </w:rPr>
            </w:pPr>
          </w:p>
          <w:p w14:paraId="610A5DF0" w14:textId="77777777" w:rsidR="00E270CF" w:rsidRPr="006A7CDC" w:rsidRDefault="00E270CF" w:rsidP="006A7CDC">
            <w:pPr>
              <w:jc w:val="both"/>
              <w:rPr>
                <w:i/>
                <w:iCs/>
                <w:sz w:val="20"/>
                <w:szCs w:val="20"/>
              </w:rPr>
            </w:pPr>
          </w:p>
        </w:tc>
        <w:tc>
          <w:tcPr>
            <w:tcW w:w="190" w:type="pct"/>
          </w:tcPr>
          <w:p w14:paraId="65C29B00" w14:textId="77777777" w:rsidR="00E270CF" w:rsidRPr="006A7CDC" w:rsidRDefault="00E270CF" w:rsidP="006A7CDC">
            <w:pPr>
              <w:jc w:val="both"/>
              <w:rPr>
                <w:sz w:val="20"/>
                <w:szCs w:val="20"/>
              </w:rPr>
            </w:pPr>
          </w:p>
          <w:p w14:paraId="75C12E88" w14:textId="77777777" w:rsidR="00E270CF" w:rsidRPr="006A7CDC" w:rsidRDefault="00E270CF" w:rsidP="006A7CDC">
            <w:pPr>
              <w:jc w:val="both"/>
              <w:rPr>
                <w:sz w:val="20"/>
                <w:szCs w:val="20"/>
              </w:rPr>
            </w:pPr>
            <w:r w:rsidRPr="006A7CDC">
              <w:rPr>
                <w:sz w:val="20"/>
                <w:szCs w:val="20"/>
              </w:rPr>
              <w:t>X</w:t>
            </w:r>
          </w:p>
        </w:tc>
        <w:tc>
          <w:tcPr>
            <w:tcW w:w="175" w:type="pct"/>
          </w:tcPr>
          <w:p w14:paraId="0F2307F4" w14:textId="77777777" w:rsidR="00E270CF" w:rsidRPr="006A7CDC" w:rsidRDefault="00E270CF" w:rsidP="006A7CDC">
            <w:pPr>
              <w:jc w:val="both"/>
              <w:rPr>
                <w:sz w:val="20"/>
                <w:szCs w:val="20"/>
              </w:rPr>
            </w:pPr>
          </w:p>
          <w:p w14:paraId="4DF4C886" w14:textId="77777777" w:rsidR="00E270CF" w:rsidRPr="006A7CDC" w:rsidRDefault="00E270CF" w:rsidP="006A7CDC">
            <w:pPr>
              <w:jc w:val="both"/>
              <w:rPr>
                <w:sz w:val="20"/>
                <w:szCs w:val="20"/>
              </w:rPr>
            </w:pPr>
            <w:r w:rsidRPr="006A7CDC">
              <w:rPr>
                <w:sz w:val="20"/>
                <w:szCs w:val="20"/>
              </w:rPr>
              <w:t>X</w:t>
            </w:r>
          </w:p>
          <w:p w14:paraId="42BD8EF3" w14:textId="77777777" w:rsidR="00E270CF" w:rsidRPr="006A7CDC" w:rsidRDefault="00E270CF" w:rsidP="006A7CDC">
            <w:pPr>
              <w:jc w:val="both"/>
              <w:rPr>
                <w:sz w:val="20"/>
                <w:szCs w:val="20"/>
              </w:rPr>
            </w:pPr>
          </w:p>
          <w:p w14:paraId="7D21EB0C" w14:textId="77777777" w:rsidR="00E270CF" w:rsidRPr="006A7CDC" w:rsidRDefault="00E270CF" w:rsidP="006A7CDC">
            <w:pPr>
              <w:jc w:val="both"/>
              <w:rPr>
                <w:sz w:val="20"/>
                <w:szCs w:val="20"/>
              </w:rPr>
            </w:pPr>
          </w:p>
        </w:tc>
        <w:tc>
          <w:tcPr>
            <w:tcW w:w="177" w:type="pct"/>
          </w:tcPr>
          <w:p w14:paraId="19432558" w14:textId="77777777" w:rsidR="00E270CF" w:rsidRPr="006A7CDC" w:rsidRDefault="00E270CF" w:rsidP="006A7CDC">
            <w:pPr>
              <w:jc w:val="both"/>
              <w:rPr>
                <w:sz w:val="20"/>
                <w:szCs w:val="20"/>
              </w:rPr>
            </w:pPr>
          </w:p>
        </w:tc>
        <w:tc>
          <w:tcPr>
            <w:tcW w:w="749" w:type="pct"/>
          </w:tcPr>
          <w:p w14:paraId="3FFC6FB8" w14:textId="77777777" w:rsidR="00E270CF" w:rsidRPr="006A7CDC" w:rsidRDefault="00E270CF" w:rsidP="006A7CDC">
            <w:pPr>
              <w:jc w:val="both"/>
              <w:rPr>
                <w:sz w:val="20"/>
                <w:szCs w:val="20"/>
              </w:rPr>
            </w:pPr>
          </w:p>
          <w:p w14:paraId="5256BC03" w14:textId="77777777" w:rsidR="00E270CF" w:rsidRPr="006A7CDC" w:rsidRDefault="00E270CF" w:rsidP="005C34A0">
            <w:pPr>
              <w:rPr>
                <w:sz w:val="20"/>
                <w:szCs w:val="20"/>
              </w:rPr>
            </w:pPr>
            <w:r w:rsidRPr="006A7CDC">
              <w:rPr>
                <w:sz w:val="20"/>
                <w:szCs w:val="20"/>
              </w:rPr>
              <w:t xml:space="preserve">UNDP, with </w:t>
            </w:r>
          </w:p>
          <w:p w14:paraId="64779495" w14:textId="77777777" w:rsidR="00E270CF" w:rsidRPr="006A7CDC" w:rsidRDefault="00E270CF" w:rsidP="005C34A0">
            <w:pPr>
              <w:rPr>
                <w:sz w:val="20"/>
                <w:szCs w:val="20"/>
              </w:rPr>
            </w:pPr>
            <w:proofErr w:type="spellStart"/>
            <w:r w:rsidRPr="006A7CDC">
              <w:rPr>
                <w:color w:val="000000"/>
                <w:sz w:val="20"/>
                <w:szCs w:val="20"/>
                <w:bdr w:val="none" w:sz="0" w:space="0" w:color="auto" w:frame="1"/>
              </w:rPr>
              <w:t>MoH</w:t>
            </w:r>
            <w:proofErr w:type="spellEnd"/>
            <w:r w:rsidRPr="006A7CDC">
              <w:rPr>
                <w:color w:val="000000"/>
                <w:sz w:val="20"/>
                <w:szCs w:val="20"/>
                <w:bdr w:val="none" w:sz="0" w:space="0" w:color="auto" w:frame="1"/>
              </w:rPr>
              <w:t xml:space="preserve">, WHO, Saxion and Tripoli Universities, National </w:t>
            </w:r>
            <w:r w:rsidR="006A7CDC" w:rsidRPr="006A7CDC">
              <w:rPr>
                <w:color w:val="000000"/>
                <w:sz w:val="20"/>
                <w:szCs w:val="20"/>
                <w:bdr w:val="none" w:sz="0" w:space="0" w:color="auto" w:frame="1"/>
              </w:rPr>
              <w:t>Hospitals Libyan</w:t>
            </w:r>
            <w:r w:rsidRPr="006A7CDC">
              <w:rPr>
                <w:color w:val="000000"/>
                <w:sz w:val="20"/>
                <w:szCs w:val="20"/>
                <w:bdr w:val="none" w:sz="0" w:space="0" w:color="auto" w:frame="1"/>
              </w:rPr>
              <w:t xml:space="preserve"> National Robotics T</w:t>
            </w:r>
            <w:r w:rsidR="006A7CDC" w:rsidRPr="006A7CDC">
              <w:rPr>
                <w:color w:val="000000"/>
                <w:sz w:val="20"/>
                <w:szCs w:val="20"/>
                <w:bdr w:val="none" w:sz="0" w:space="0" w:color="auto" w:frame="1"/>
              </w:rPr>
              <w:t>e</w:t>
            </w:r>
            <w:r w:rsidRPr="006A7CDC">
              <w:rPr>
                <w:color w:val="000000"/>
                <w:sz w:val="20"/>
                <w:szCs w:val="20"/>
                <w:bdr w:val="none" w:sz="0" w:space="0" w:color="auto" w:frame="1"/>
              </w:rPr>
              <w:t xml:space="preserve">am, </w:t>
            </w:r>
            <w:r w:rsidR="006A7CDC" w:rsidRPr="006A7CDC">
              <w:rPr>
                <w:sz w:val="20"/>
                <w:szCs w:val="20"/>
                <w:lang w:eastAsia="zh-CN"/>
              </w:rPr>
              <w:t>Accelerator Lab</w:t>
            </w:r>
          </w:p>
        </w:tc>
        <w:tc>
          <w:tcPr>
            <w:tcW w:w="268" w:type="pct"/>
            <w:vMerge/>
          </w:tcPr>
          <w:p w14:paraId="5A8BFBA2" w14:textId="77777777" w:rsidR="00E270CF" w:rsidRPr="006A7CDC" w:rsidRDefault="00E270CF" w:rsidP="006A7CDC">
            <w:pPr>
              <w:jc w:val="both"/>
              <w:rPr>
                <w:sz w:val="20"/>
                <w:szCs w:val="20"/>
              </w:rPr>
            </w:pPr>
          </w:p>
        </w:tc>
        <w:tc>
          <w:tcPr>
            <w:tcW w:w="605" w:type="pct"/>
            <w:vMerge/>
          </w:tcPr>
          <w:p w14:paraId="47415815" w14:textId="77777777" w:rsidR="00E270CF" w:rsidRPr="006A7CDC" w:rsidRDefault="00E270CF" w:rsidP="006A7CDC">
            <w:pPr>
              <w:jc w:val="both"/>
              <w:rPr>
                <w:sz w:val="20"/>
                <w:szCs w:val="20"/>
              </w:rPr>
            </w:pPr>
          </w:p>
        </w:tc>
        <w:tc>
          <w:tcPr>
            <w:tcW w:w="355" w:type="pct"/>
            <w:vMerge/>
          </w:tcPr>
          <w:p w14:paraId="30DCFC7D" w14:textId="77777777" w:rsidR="00E270CF" w:rsidRPr="006A7CDC" w:rsidRDefault="00E270CF" w:rsidP="006A7CDC">
            <w:pPr>
              <w:jc w:val="both"/>
              <w:rPr>
                <w:sz w:val="20"/>
                <w:szCs w:val="20"/>
              </w:rPr>
            </w:pPr>
          </w:p>
        </w:tc>
      </w:tr>
      <w:tr w:rsidR="001F54B9" w:rsidRPr="006A7CDC" w14:paraId="55BE07F3" w14:textId="77777777" w:rsidTr="006B2410">
        <w:trPr>
          <w:cantSplit/>
          <w:trHeight w:val="278"/>
        </w:trPr>
        <w:tc>
          <w:tcPr>
            <w:tcW w:w="1258" w:type="pct"/>
            <w:shd w:val="clear" w:color="auto" w:fill="BFBFBF" w:themeFill="background1" w:themeFillShade="BF"/>
          </w:tcPr>
          <w:p w14:paraId="2CFC28C5" w14:textId="77777777" w:rsidR="00E270CF" w:rsidRPr="006A7CDC" w:rsidRDefault="00E270CF" w:rsidP="006A7CDC">
            <w:pPr>
              <w:jc w:val="both"/>
              <w:rPr>
                <w:b/>
                <w:i/>
                <w:sz w:val="20"/>
                <w:szCs w:val="20"/>
              </w:rPr>
            </w:pPr>
            <w:r w:rsidRPr="006A7CDC">
              <w:rPr>
                <w:b/>
                <w:i/>
                <w:sz w:val="20"/>
                <w:szCs w:val="20"/>
              </w:rPr>
              <w:t>Output 1 subtotal</w:t>
            </w:r>
          </w:p>
        </w:tc>
        <w:tc>
          <w:tcPr>
            <w:tcW w:w="1222" w:type="pct"/>
            <w:shd w:val="clear" w:color="auto" w:fill="BFBFBF" w:themeFill="background1" w:themeFillShade="BF"/>
          </w:tcPr>
          <w:p w14:paraId="60B4CE87" w14:textId="77777777" w:rsidR="00E270CF" w:rsidRPr="006A7CDC" w:rsidRDefault="00E270CF" w:rsidP="006A7CDC">
            <w:pPr>
              <w:jc w:val="both"/>
              <w:rPr>
                <w:b/>
                <w:i/>
                <w:iCs/>
                <w:sz w:val="20"/>
                <w:szCs w:val="20"/>
              </w:rPr>
            </w:pPr>
          </w:p>
        </w:tc>
        <w:tc>
          <w:tcPr>
            <w:tcW w:w="190" w:type="pct"/>
            <w:shd w:val="clear" w:color="auto" w:fill="BFBFBF" w:themeFill="background1" w:themeFillShade="BF"/>
          </w:tcPr>
          <w:p w14:paraId="1363FD64" w14:textId="77777777" w:rsidR="00E270CF" w:rsidRPr="006A7CDC" w:rsidRDefault="00E270CF" w:rsidP="006A7CDC">
            <w:pPr>
              <w:jc w:val="both"/>
              <w:rPr>
                <w:sz w:val="20"/>
                <w:szCs w:val="20"/>
              </w:rPr>
            </w:pPr>
          </w:p>
        </w:tc>
        <w:tc>
          <w:tcPr>
            <w:tcW w:w="175" w:type="pct"/>
            <w:shd w:val="clear" w:color="auto" w:fill="BFBFBF" w:themeFill="background1" w:themeFillShade="BF"/>
          </w:tcPr>
          <w:p w14:paraId="7DFCB1D4" w14:textId="77777777" w:rsidR="00E270CF" w:rsidRPr="006A7CDC" w:rsidRDefault="00E270CF" w:rsidP="006A7CDC">
            <w:pPr>
              <w:jc w:val="both"/>
              <w:rPr>
                <w:sz w:val="20"/>
                <w:szCs w:val="20"/>
              </w:rPr>
            </w:pPr>
          </w:p>
        </w:tc>
        <w:tc>
          <w:tcPr>
            <w:tcW w:w="177" w:type="pct"/>
            <w:shd w:val="clear" w:color="auto" w:fill="BFBFBF" w:themeFill="background1" w:themeFillShade="BF"/>
          </w:tcPr>
          <w:p w14:paraId="623EFD50" w14:textId="77777777" w:rsidR="00E270CF" w:rsidRPr="006A7CDC" w:rsidRDefault="00E270CF" w:rsidP="006A7CDC">
            <w:pPr>
              <w:jc w:val="both"/>
              <w:rPr>
                <w:sz w:val="20"/>
                <w:szCs w:val="20"/>
              </w:rPr>
            </w:pPr>
          </w:p>
        </w:tc>
        <w:tc>
          <w:tcPr>
            <w:tcW w:w="749" w:type="pct"/>
            <w:shd w:val="clear" w:color="auto" w:fill="BFBFBF" w:themeFill="background1" w:themeFillShade="BF"/>
          </w:tcPr>
          <w:p w14:paraId="2588C419" w14:textId="77777777" w:rsidR="00E270CF" w:rsidRPr="006A7CDC" w:rsidRDefault="00E270CF" w:rsidP="006A7CDC">
            <w:pPr>
              <w:jc w:val="both"/>
              <w:rPr>
                <w:sz w:val="20"/>
                <w:szCs w:val="20"/>
              </w:rPr>
            </w:pPr>
          </w:p>
        </w:tc>
        <w:tc>
          <w:tcPr>
            <w:tcW w:w="268" w:type="pct"/>
            <w:shd w:val="clear" w:color="auto" w:fill="BFBFBF" w:themeFill="background1" w:themeFillShade="BF"/>
          </w:tcPr>
          <w:p w14:paraId="0AD7CB5A" w14:textId="77777777" w:rsidR="00E270CF" w:rsidRPr="006A7CDC" w:rsidRDefault="00E270CF" w:rsidP="006A7CDC">
            <w:pPr>
              <w:jc w:val="both"/>
              <w:rPr>
                <w:sz w:val="20"/>
                <w:szCs w:val="20"/>
              </w:rPr>
            </w:pPr>
          </w:p>
        </w:tc>
        <w:tc>
          <w:tcPr>
            <w:tcW w:w="605" w:type="pct"/>
            <w:shd w:val="clear" w:color="auto" w:fill="BFBFBF" w:themeFill="background1" w:themeFillShade="BF"/>
          </w:tcPr>
          <w:p w14:paraId="13A0EE20" w14:textId="77777777" w:rsidR="00E270CF" w:rsidRPr="006A7CDC" w:rsidRDefault="00E270CF" w:rsidP="006A7CDC">
            <w:pPr>
              <w:jc w:val="both"/>
              <w:rPr>
                <w:sz w:val="20"/>
                <w:szCs w:val="20"/>
              </w:rPr>
            </w:pPr>
          </w:p>
        </w:tc>
        <w:tc>
          <w:tcPr>
            <w:tcW w:w="355" w:type="pct"/>
            <w:shd w:val="clear" w:color="auto" w:fill="BFBFBF" w:themeFill="background1" w:themeFillShade="BF"/>
          </w:tcPr>
          <w:p w14:paraId="1FDBFE78" w14:textId="77777777" w:rsidR="00E270CF" w:rsidRPr="006A7CDC" w:rsidRDefault="00E270CF" w:rsidP="006A7CDC">
            <w:pPr>
              <w:jc w:val="both"/>
              <w:rPr>
                <w:b/>
                <w:sz w:val="20"/>
                <w:szCs w:val="20"/>
              </w:rPr>
            </w:pPr>
            <w:r w:rsidRPr="006A7CDC">
              <w:rPr>
                <w:b/>
                <w:sz w:val="20"/>
                <w:szCs w:val="20"/>
              </w:rPr>
              <w:t>250,000</w:t>
            </w:r>
          </w:p>
        </w:tc>
      </w:tr>
      <w:tr w:rsidR="001F54B9" w:rsidRPr="006A7CDC" w14:paraId="5FD8A160" w14:textId="77777777" w:rsidTr="006B2410">
        <w:trPr>
          <w:cantSplit/>
          <w:trHeight w:val="5480"/>
        </w:trPr>
        <w:tc>
          <w:tcPr>
            <w:tcW w:w="1258" w:type="pct"/>
            <w:vMerge w:val="restart"/>
          </w:tcPr>
          <w:p w14:paraId="7643E49E" w14:textId="77777777" w:rsidR="00E270CF" w:rsidRPr="006A7CDC" w:rsidRDefault="00E270CF" w:rsidP="006A7CDC">
            <w:pPr>
              <w:jc w:val="both"/>
              <w:rPr>
                <w:b/>
                <w:sz w:val="20"/>
                <w:szCs w:val="20"/>
                <w:lang w:eastAsia="zh-CN"/>
              </w:rPr>
            </w:pPr>
            <w:r w:rsidRPr="006A7CDC">
              <w:rPr>
                <w:b/>
                <w:sz w:val="20"/>
                <w:szCs w:val="20"/>
                <w:lang w:eastAsia="zh-CN"/>
              </w:rPr>
              <w:lastRenderedPageBreak/>
              <w:t>O</w:t>
            </w:r>
            <w:r w:rsidR="002C59B7" w:rsidRPr="006A7CDC">
              <w:rPr>
                <w:b/>
                <w:sz w:val="20"/>
                <w:szCs w:val="20"/>
                <w:lang w:eastAsia="zh-CN"/>
              </w:rPr>
              <w:t xml:space="preserve">utput </w:t>
            </w:r>
            <w:r w:rsidRPr="006A7CDC">
              <w:rPr>
                <w:b/>
                <w:sz w:val="20"/>
                <w:szCs w:val="20"/>
                <w:lang w:eastAsia="zh-CN"/>
              </w:rPr>
              <w:t xml:space="preserve">2: </w:t>
            </w:r>
            <w:r w:rsidRPr="006A7CDC">
              <w:rPr>
                <w:b/>
                <w:color w:val="000000"/>
                <w:sz w:val="20"/>
                <w:szCs w:val="20"/>
                <w:bdr w:val="none" w:sz="0" w:space="0" w:color="auto" w:frame="1"/>
              </w:rPr>
              <w:t>Inclusive and integrated crisis management in enhanced through a whole-of-society response to COVID-19</w:t>
            </w:r>
          </w:p>
          <w:p w14:paraId="25A67E75" w14:textId="77777777" w:rsidR="00E270CF" w:rsidRPr="006A7CDC" w:rsidRDefault="00E270CF" w:rsidP="006A7CDC">
            <w:pPr>
              <w:spacing w:line="360" w:lineRule="auto"/>
              <w:jc w:val="both"/>
              <w:rPr>
                <w:b/>
                <w:bCs/>
                <w:sz w:val="18"/>
                <w:szCs w:val="18"/>
              </w:rPr>
            </w:pPr>
          </w:p>
          <w:p w14:paraId="7F4E081F" w14:textId="77777777" w:rsidR="00E270CF" w:rsidRPr="006A7CDC" w:rsidRDefault="00E270CF" w:rsidP="006A7CDC">
            <w:pPr>
              <w:spacing w:line="360" w:lineRule="auto"/>
              <w:jc w:val="both"/>
              <w:rPr>
                <w:b/>
                <w:color w:val="000000"/>
                <w:sz w:val="22"/>
                <w:szCs w:val="22"/>
                <w:bdr w:val="none" w:sz="0" w:space="0" w:color="auto" w:frame="1"/>
              </w:rPr>
            </w:pPr>
            <w:r w:rsidRPr="006A7CDC">
              <w:rPr>
                <w:b/>
                <w:color w:val="000000"/>
                <w:sz w:val="22"/>
                <w:szCs w:val="22"/>
                <w:bdr w:val="none" w:sz="0" w:space="0" w:color="auto" w:frame="1"/>
              </w:rPr>
              <w:t>Indicators:</w:t>
            </w:r>
          </w:p>
          <w:p w14:paraId="6F9A8140" w14:textId="77777777" w:rsidR="00E270CF" w:rsidRPr="006A7CDC" w:rsidRDefault="57E16DD6" w:rsidP="006A7CDC">
            <w:pPr>
              <w:numPr>
                <w:ilvl w:val="0"/>
                <w:numId w:val="24"/>
              </w:numPr>
              <w:ind w:left="180" w:hanging="198"/>
              <w:jc w:val="both"/>
              <w:rPr>
                <w:rFonts w:eastAsia="ArialMT"/>
                <w:sz w:val="20"/>
                <w:szCs w:val="20"/>
                <w:lang w:eastAsia="hr-HR"/>
              </w:rPr>
            </w:pPr>
            <w:r w:rsidRPr="6FB26674">
              <w:rPr>
                <w:rFonts w:eastAsia="ArialMT"/>
                <w:sz w:val="20"/>
                <w:szCs w:val="20"/>
                <w:lang w:eastAsia="hr-HR"/>
              </w:rPr>
              <w:t xml:space="preserve">Extent to which the </w:t>
            </w:r>
            <w:r w:rsidR="2195C55D" w:rsidRPr="6FB26674">
              <w:rPr>
                <w:rFonts w:eastAsia="ArialMT"/>
                <w:sz w:val="20"/>
                <w:szCs w:val="20"/>
                <w:lang w:eastAsia="hr-HR"/>
              </w:rPr>
              <w:t xml:space="preserve">Ministry of Health </w:t>
            </w:r>
            <w:proofErr w:type="gramStart"/>
            <w:r w:rsidRPr="6FB26674">
              <w:rPr>
                <w:rFonts w:eastAsia="ArialMT"/>
                <w:sz w:val="20"/>
                <w:szCs w:val="20"/>
                <w:lang w:eastAsia="hr-HR"/>
              </w:rPr>
              <w:t>is able to</w:t>
            </w:r>
            <w:proofErr w:type="gramEnd"/>
            <w:r w:rsidR="388097E6" w:rsidRPr="6FB26674">
              <w:rPr>
                <w:rFonts w:eastAsia="ArialMT"/>
                <w:sz w:val="20"/>
                <w:szCs w:val="20"/>
                <w:lang w:eastAsia="hr-HR"/>
              </w:rPr>
              <w:t xml:space="preserve"> coordinate</w:t>
            </w:r>
            <w:r w:rsidRPr="6FB26674">
              <w:rPr>
                <w:rFonts w:eastAsia="ArialMT"/>
                <w:sz w:val="20"/>
                <w:szCs w:val="20"/>
                <w:lang w:eastAsia="hr-HR"/>
              </w:rPr>
              <w:t xml:space="preserve"> an inclusive</w:t>
            </w:r>
            <w:r w:rsidR="2195C55D" w:rsidRPr="6FB26674">
              <w:rPr>
                <w:rFonts w:eastAsia="ArialMT"/>
                <w:sz w:val="20"/>
                <w:szCs w:val="20"/>
                <w:lang w:eastAsia="hr-HR"/>
              </w:rPr>
              <w:t xml:space="preserve"> coordination </w:t>
            </w:r>
            <w:r w:rsidRPr="6FB26674">
              <w:rPr>
                <w:rFonts w:eastAsia="ArialMT"/>
                <w:sz w:val="20"/>
                <w:szCs w:val="20"/>
                <w:lang w:eastAsia="hr-HR"/>
              </w:rPr>
              <w:t xml:space="preserve">response to COVID-19 </w:t>
            </w:r>
          </w:p>
          <w:p w14:paraId="155D54FC" w14:textId="77777777" w:rsidR="00E270CF" w:rsidRPr="006A7CDC" w:rsidRDefault="00E270CF"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National system in place to monitor spread of misinformation and produce verified and validated informational content to counter misinformation </w:t>
            </w:r>
          </w:p>
          <w:p w14:paraId="38920E34" w14:textId="281CCEC7" w:rsidR="00E270CF" w:rsidRPr="006A7CDC" w:rsidRDefault="00E270CF"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 of </w:t>
            </w:r>
            <w:proofErr w:type="gramStart"/>
            <w:r w:rsidRPr="006A7CDC">
              <w:rPr>
                <w:rFonts w:eastAsia="ArialMT"/>
                <w:sz w:val="20"/>
                <w:szCs w:val="20"/>
                <w:lang w:eastAsia="hr-HR"/>
              </w:rPr>
              <w:t>journalists</w:t>
            </w:r>
            <w:proofErr w:type="gramEnd"/>
            <w:r w:rsidR="00A8774C">
              <w:rPr>
                <w:rFonts w:eastAsia="ArialMT"/>
                <w:sz w:val="20"/>
                <w:szCs w:val="20"/>
                <w:lang w:eastAsia="hr-HR"/>
              </w:rPr>
              <w:t xml:space="preserve"> women and men</w:t>
            </w:r>
            <w:r w:rsidRPr="006A7CDC">
              <w:rPr>
                <w:rFonts w:eastAsia="ArialMT"/>
                <w:sz w:val="20"/>
                <w:szCs w:val="20"/>
                <w:lang w:eastAsia="hr-HR"/>
              </w:rPr>
              <w:t>, social media influencers, trained and actively involved in fighting misinformation.</w:t>
            </w:r>
          </w:p>
          <w:p w14:paraId="5637C5BE" w14:textId="6FC4723F" w:rsidR="00E270CF" w:rsidRPr="006A7CDC" w:rsidRDefault="00E270CF"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 of Government officials and mayors, and municipal communications staff </w:t>
            </w:r>
            <w:r w:rsidR="00A8774C">
              <w:rPr>
                <w:rFonts w:eastAsia="ArialMT"/>
                <w:sz w:val="20"/>
                <w:szCs w:val="20"/>
                <w:lang w:eastAsia="hr-HR"/>
              </w:rPr>
              <w:t xml:space="preserve">(women and men) </w:t>
            </w:r>
            <w:r w:rsidRPr="006A7CDC">
              <w:rPr>
                <w:rFonts w:eastAsia="ArialMT"/>
                <w:sz w:val="20"/>
                <w:szCs w:val="20"/>
                <w:lang w:eastAsia="hr-HR"/>
              </w:rPr>
              <w:t>trained in strategic and conflict sensitive communications.</w:t>
            </w:r>
          </w:p>
          <w:p w14:paraId="34A9F698" w14:textId="77777777" w:rsidR="00E270CF" w:rsidRPr="006A7CDC" w:rsidRDefault="00E270CF" w:rsidP="006A7CDC">
            <w:pPr>
              <w:spacing w:line="360" w:lineRule="auto"/>
              <w:jc w:val="both"/>
              <w:rPr>
                <w:rFonts w:eastAsia="ArialMT"/>
                <w:sz w:val="20"/>
                <w:szCs w:val="20"/>
                <w:lang w:eastAsia="hr-HR"/>
              </w:rPr>
            </w:pPr>
          </w:p>
          <w:p w14:paraId="7766069F" w14:textId="77777777" w:rsidR="00E270CF" w:rsidRPr="006A7CDC" w:rsidRDefault="00E270CF" w:rsidP="006A7CDC">
            <w:pPr>
              <w:spacing w:line="360" w:lineRule="auto"/>
              <w:jc w:val="both"/>
              <w:rPr>
                <w:b/>
                <w:color w:val="000000"/>
                <w:sz w:val="22"/>
                <w:szCs w:val="22"/>
                <w:bdr w:val="none" w:sz="0" w:space="0" w:color="auto" w:frame="1"/>
              </w:rPr>
            </w:pPr>
            <w:r w:rsidRPr="006A7CDC">
              <w:rPr>
                <w:b/>
                <w:color w:val="000000"/>
                <w:sz w:val="22"/>
                <w:szCs w:val="22"/>
                <w:bdr w:val="none" w:sz="0" w:space="0" w:color="auto" w:frame="1"/>
              </w:rPr>
              <w:t>Targets:</w:t>
            </w:r>
          </w:p>
          <w:p w14:paraId="20190710" w14:textId="25BA464A" w:rsidR="00F8543E" w:rsidRPr="006A7CDC" w:rsidRDefault="00F8543E"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Ministry of Health coordination with international organizations and </w:t>
            </w:r>
            <w:r w:rsidR="00E17C37" w:rsidRPr="006A7CDC">
              <w:rPr>
                <w:rFonts w:eastAsia="ArialMT"/>
                <w:sz w:val="20"/>
                <w:szCs w:val="20"/>
                <w:lang w:eastAsia="hr-HR"/>
              </w:rPr>
              <w:t>ministries</w:t>
            </w:r>
            <w:r w:rsidRPr="006A7CDC">
              <w:rPr>
                <w:rFonts w:eastAsia="ArialMT"/>
                <w:sz w:val="20"/>
                <w:szCs w:val="20"/>
                <w:lang w:eastAsia="hr-HR"/>
              </w:rPr>
              <w:t xml:space="preserve"> take</w:t>
            </w:r>
            <w:r w:rsidR="00FE46F4">
              <w:rPr>
                <w:rFonts w:eastAsia="ArialMT"/>
                <w:sz w:val="20"/>
                <w:szCs w:val="20"/>
                <w:lang w:eastAsia="hr-HR"/>
              </w:rPr>
              <w:t>s</w:t>
            </w:r>
            <w:r w:rsidRPr="006A7CDC">
              <w:rPr>
                <w:rFonts w:eastAsia="ArialMT"/>
                <w:sz w:val="20"/>
                <w:szCs w:val="20"/>
                <w:lang w:eastAsia="hr-HR"/>
              </w:rPr>
              <w:t xml:space="preserve"> place.</w:t>
            </w:r>
          </w:p>
          <w:p w14:paraId="7B30A9AE" w14:textId="762739EE" w:rsidR="00F8543E" w:rsidRPr="006A7CDC" w:rsidRDefault="00F8543E"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International organizations and </w:t>
            </w:r>
            <w:r w:rsidR="00E17C37" w:rsidRPr="006A7CDC">
              <w:rPr>
                <w:rFonts w:eastAsia="ArialMT"/>
                <w:sz w:val="20"/>
                <w:szCs w:val="20"/>
                <w:lang w:eastAsia="hr-HR"/>
              </w:rPr>
              <w:t>Ministries</w:t>
            </w:r>
            <w:r w:rsidRPr="006A7CDC">
              <w:rPr>
                <w:rFonts w:eastAsia="ArialMT"/>
                <w:sz w:val="20"/>
                <w:szCs w:val="20"/>
                <w:lang w:eastAsia="hr-HR"/>
              </w:rPr>
              <w:t xml:space="preserve"> respond to the </w:t>
            </w:r>
            <w:proofErr w:type="spellStart"/>
            <w:r w:rsidRPr="006A7CDC">
              <w:rPr>
                <w:rFonts w:eastAsia="ArialMT"/>
                <w:sz w:val="20"/>
                <w:szCs w:val="20"/>
                <w:lang w:eastAsia="hr-HR"/>
              </w:rPr>
              <w:t>MoH</w:t>
            </w:r>
            <w:proofErr w:type="spellEnd"/>
            <w:r w:rsidRPr="006A7CDC">
              <w:rPr>
                <w:rFonts w:eastAsia="ArialMT"/>
                <w:sz w:val="20"/>
                <w:szCs w:val="20"/>
                <w:lang w:eastAsia="hr-HR"/>
              </w:rPr>
              <w:t xml:space="preserve"> needs through coordination mechanism</w:t>
            </w:r>
            <w:r w:rsidR="00FE46F4">
              <w:rPr>
                <w:rFonts w:eastAsia="ArialMT"/>
                <w:sz w:val="20"/>
                <w:szCs w:val="20"/>
                <w:lang w:eastAsia="hr-HR"/>
              </w:rPr>
              <w:t>.</w:t>
            </w:r>
          </w:p>
          <w:p w14:paraId="14EA733F" w14:textId="11AC2948" w:rsidR="00E270CF" w:rsidRPr="006A7CDC" w:rsidRDefault="00E270CF" w:rsidP="006A7CDC">
            <w:pPr>
              <w:numPr>
                <w:ilvl w:val="0"/>
                <w:numId w:val="24"/>
              </w:numPr>
              <w:ind w:left="180" w:hanging="198"/>
              <w:jc w:val="both"/>
              <w:rPr>
                <w:rFonts w:eastAsia="ArialMT"/>
                <w:sz w:val="20"/>
                <w:szCs w:val="20"/>
                <w:lang w:eastAsia="hr-HR"/>
              </w:rPr>
            </w:pPr>
            <w:r w:rsidRPr="006A7CDC">
              <w:rPr>
                <w:rFonts w:eastAsia="ArialMT"/>
                <w:sz w:val="20"/>
                <w:szCs w:val="20"/>
                <w:lang w:eastAsia="hr-HR"/>
              </w:rPr>
              <w:t xml:space="preserve">Authorities and influencers in all municipalities receiving training on conflict-sensitive communication </w:t>
            </w:r>
            <w:r w:rsidR="00AD66C7">
              <w:rPr>
                <w:rFonts w:eastAsia="ArialMT"/>
                <w:sz w:val="20"/>
                <w:szCs w:val="20"/>
                <w:lang w:eastAsia="hr-HR"/>
              </w:rPr>
              <w:t xml:space="preserve">on </w:t>
            </w:r>
            <w:r w:rsidRPr="006A7CDC">
              <w:rPr>
                <w:rFonts w:eastAsia="ArialMT"/>
                <w:sz w:val="20"/>
                <w:szCs w:val="20"/>
                <w:lang w:eastAsia="hr-HR"/>
              </w:rPr>
              <w:t xml:space="preserve">COVID-19 and are disseminating authoritative public information and updates on COVID-19 </w:t>
            </w:r>
          </w:p>
          <w:p w14:paraId="0153F542" w14:textId="77777777" w:rsidR="00E270CF" w:rsidRPr="006A7CDC" w:rsidRDefault="00E270CF" w:rsidP="006A7CDC">
            <w:pPr>
              <w:ind w:left="-18"/>
              <w:jc w:val="both"/>
              <w:rPr>
                <w:rFonts w:eastAsia="ArialMT"/>
                <w:sz w:val="20"/>
                <w:szCs w:val="20"/>
                <w:lang w:eastAsia="hr-HR"/>
              </w:rPr>
            </w:pPr>
          </w:p>
        </w:tc>
        <w:tc>
          <w:tcPr>
            <w:tcW w:w="1222" w:type="pct"/>
            <w:tcBorders>
              <w:bottom w:val="single" w:sz="4" w:space="0" w:color="auto"/>
            </w:tcBorders>
          </w:tcPr>
          <w:p w14:paraId="0CF48F64" w14:textId="77777777" w:rsidR="00E270CF" w:rsidRPr="005C34A0" w:rsidRDefault="1AF392E7" w:rsidP="006A7CDC">
            <w:pPr>
              <w:jc w:val="both"/>
              <w:rPr>
                <w:sz w:val="20"/>
                <w:szCs w:val="20"/>
              </w:rPr>
            </w:pPr>
            <w:r w:rsidRPr="00B92F65">
              <w:rPr>
                <w:b/>
                <w:bCs/>
                <w:color w:val="000000"/>
                <w:sz w:val="20"/>
                <w:szCs w:val="20"/>
                <w:bdr w:val="none" w:sz="0" w:space="0" w:color="auto" w:frame="1"/>
              </w:rPr>
              <w:t>Activity 2.1:</w:t>
            </w:r>
            <w:r w:rsidRPr="00B92F65">
              <w:rPr>
                <w:color w:val="000000"/>
                <w:sz w:val="20"/>
                <w:szCs w:val="20"/>
                <w:bdr w:val="none" w:sz="0" w:space="0" w:color="auto" w:frame="1"/>
              </w:rPr>
              <w:t xml:space="preserve"> </w:t>
            </w:r>
            <w:r w:rsidRPr="005C34A0">
              <w:rPr>
                <w:sz w:val="20"/>
                <w:szCs w:val="20"/>
              </w:rPr>
              <w:t xml:space="preserve">Strengthening coordination and public health capacity within the Ministry </w:t>
            </w:r>
          </w:p>
          <w:p w14:paraId="1D2D9B77" w14:textId="77777777" w:rsidR="00E270CF" w:rsidRPr="00B92F65" w:rsidRDefault="00E270CF" w:rsidP="006A7CDC">
            <w:pPr>
              <w:jc w:val="both"/>
              <w:rPr>
                <w:sz w:val="20"/>
                <w:szCs w:val="20"/>
                <w:lang w:eastAsia="zh-CN"/>
              </w:rPr>
            </w:pPr>
          </w:p>
          <w:p w14:paraId="79B1E2AE" w14:textId="77777777" w:rsidR="00E270CF" w:rsidRPr="005C34A0" w:rsidRDefault="00E270CF" w:rsidP="006A7CDC">
            <w:pPr>
              <w:ind w:left="360"/>
              <w:jc w:val="both"/>
              <w:rPr>
                <w:bCs/>
                <w:sz w:val="20"/>
                <w:szCs w:val="20"/>
                <w:lang w:eastAsia="zh-CN"/>
              </w:rPr>
            </w:pPr>
          </w:p>
          <w:p w14:paraId="3852297B" w14:textId="77777777" w:rsidR="00E270CF" w:rsidRPr="00B92F65" w:rsidRDefault="00E270CF" w:rsidP="006A7CDC">
            <w:pPr>
              <w:jc w:val="both"/>
              <w:rPr>
                <w:sz w:val="20"/>
                <w:szCs w:val="20"/>
              </w:rPr>
            </w:pPr>
          </w:p>
        </w:tc>
        <w:tc>
          <w:tcPr>
            <w:tcW w:w="190" w:type="pct"/>
            <w:tcBorders>
              <w:bottom w:val="single" w:sz="4" w:space="0" w:color="auto"/>
            </w:tcBorders>
          </w:tcPr>
          <w:p w14:paraId="430E2415" w14:textId="77777777" w:rsidR="00E270CF" w:rsidRPr="00B92F65" w:rsidRDefault="00E270CF" w:rsidP="006A7CDC">
            <w:pPr>
              <w:jc w:val="both"/>
              <w:rPr>
                <w:sz w:val="20"/>
                <w:szCs w:val="20"/>
              </w:rPr>
            </w:pPr>
            <w:r w:rsidRPr="00B92F65">
              <w:rPr>
                <w:sz w:val="20"/>
                <w:szCs w:val="20"/>
              </w:rPr>
              <w:t>X</w:t>
            </w:r>
          </w:p>
        </w:tc>
        <w:tc>
          <w:tcPr>
            <w:tcW w:w="175" w:type="pct"/>
            <w:tcBorders>
              <w:bottom w:val="single" w:sz="4" w:space="0" w:color="auto"/>
            </w:tcBorders>
          </w:tcPr>
          <w:p w14:paraId="108B0FA6" w14:textId="77777777" w:rsidR="00E270CF" w:rsidRPr="00B92F65" w:rsidRDefault="00E270CF" w:rsidP="006A7CDC">
            <w:pPr>
              <w:jc w:val="both"/>
              <w:rPr>
                <w:sz w:val="20"/>
                <w:szCs w:val="20"/>
              </w:rPr>
            </w:pPr>
            <w:r w:rsidRPr="00B92F65">
              <w:rPr>
                <w:sz w:val="20"/>
                <w:szCs w:val="20"/>
              </w:rPr>
              <w:t>X</w:t>
            </w:r>
          </w:p>
        </w:tc>
        <w:tc>
          <w:tcPr>
            <w:tcW w:w="177" w:type="pct"/>
            <w:tcBorders>
              <w:bottom w:val="single" w:sz="4" w:space="0" w:color="auto"/>
            </w:tcBorders>
          </w:tcPr>
          <w:p w14:paraId="41E41ADD" w14:textId="77777777" w:rsidR="00E270CF" w:rsidRPr="00B92F65" w:rsidRDefault="00E270CF" w:rsidP="006A7CDC">
            <w:pPr>
              <w:jc w:val="both"/>
              <w:rPr>
                <w:sz w:val="20"/>
                <w:szCs w:val="20"/>
              </w:rPr>
            </w:pPr>
          </w:p>
        </w:tc>
        <w:tc>
          <w:tcPr>
            <w:tcW w:w="749" w:type="pct"/>
            <w:tcBorders>
              <w:bottom w:val="single" w:sz="4" w:space="0" w:color="auto"/>
            </w:tcBorders>
          </w:tcPr>
          <w:p w14:paraId="66E755AB" w14:textId="77777777" w:rsidR="00E270CF" w:rsidRPr="00B92F65" w:rsidRDefault="00E270CF" w:rsidP="006A7CDC">
            <w:pPr>
              <w:jc w:val="both"/>
              <w:rPr>
                <w:sz w:val="20"/>
                <w:szCs w:val="20"/>
              </w:rPr>
            </w:pPr>
            <w:r w:rsidRPr="00B92F65">
              <w:rPr>
                <w:sz w:val="20"/>
                <w:szCs w:val="20"/>
              </w:rPr>
              <w:t xml:space="preserve">UNDP, </w:t>
            </w:r>
            <w:proofErr w:type="spellStart"/>
            <w:r w:rsidRPr="00B92F65">
              <w:rPr>
                <w:sz w:val="20"/>
                <w:szCs w:val="20"/>
              </w:rPr>
              <w:t>MoH</w:t>
            </w:r>
            <w:proofErr w:type="spellEnd"/>
            <w:r w:rsidRPr="00B92F65">
              <w:rPr>
                <w:sz w:val="20"/>
                <w:szCs w:val="20"/>
              </w:rPr>
              <w:t>, WHO</w:t>
            </w:r>
          </w:p>
          <w:p w14:paraId="53CE629A" w14:textId="77777777" w:rsidR="00E270CF" w:rsidRPr="00B92F65" w:rsidRDefault="00E270CF" w:rsidP="006A7CDC">
            <w:pPr>
              <w:jc w:val="both"/>
              <w:rPr>
                <w:sz w:val="20"/>
                <w:szCs w:val="20"/>
              </w:rPr>
            </w:pPr>
          </w:p>
          <w:p w14:paraId="2FA993D9" w14:textId="77777777" w:rsidR="00E270CF" w:rsidRPr="00B92F65" w:rsidRDefault="00E270CF" w:rsidP="006A7CDC">
            <w:pPr>
              <w:jc w:val="both"/>
              <w:rPr>
                <w:sz w:val="20"/>
                <w:szCs w:val="20"/>
              </w:rPr>
            </w:pPr>
          </w:p>
          <w:p w14:paraId="1799C6DF" w14:textId="77777777" w:rsidR="00E270CF" w:rsidRPr="00B92F65" w:rsidRDefault="00E270CF" w:rsidP="006A7CDC">
            <w:pPr>
              <w:jc w:val="both"/>
              <w:rPr>
                <w:sz w:val="20"/>
                <w:szCs w:val="20"/>
              </w:rPr>
            </w:pPr>
          </w:p>
          <w:p w14:paraId="016F2717" w14:textId="77777777" w:rsidR="00E270CF" w:rsidRPr="00B92F65" w:rsidRDefault="00E270CF" w:rsidP="006A7CDC">
            <w:pPr>
              <w:jc w:val="both"/>
              <w:rPr>
                <w:sz w:val="20"/>
                <w:szCs w:val="20"/>
              </w:rPr>
            </w:pPr>
          </w:p>
          <w:p w14:paraId="203B5B2C" w14:textId="77777777" w:rsidR="00E270CF" w:rsidRPr="00B92F65" w:rsidRDefault="00E270CF" w:rsidP="006A7CDC">
            <w:pPr>
              <w:jc w:val="both"/>
              <w:rPr>
                <w:sz w:val="20"/>
                <w:szCs w:val="20"/>
              </w:rPr>
            </w:pPr>
          </w:p>
          <w:p w14:paraId="20257B35" w14:textId="77777777" w:rsidR="00E270CF" w:rsidRPr="00B92F65" w:rsidRDefault="00E270CF" w:rsidP="006A7CDC">
            <w:pPr>
              <w:jc w:val="both"/>
              <w:rPr>
                <w:sz w:val="20"/>
                <w:szCs w:val="20"/>
              </w:rPr>
            </w:pPr>
          </w:p>
          <w:p w14:paraId="58F46586" w14:textId="77777777" w:rsidR="00E270CF" w:rsidRPr="00B92F65" w:rsidRDefault="00E270CF" w:rsidP="006A7CDC">
            <w:pPr>
              <w:jc w:val="both"/>
              <w:rPr>
                <w:sz w:val="20"/>
                <w:szCs w:val="20"/>
              </w:rPr>
            </w:pPr>
          </w:p>
          <w:p w14:paraId="32E7AFE4" w14:textId="77777777" w:rsidR="00E270CF" w:rsidRPr="00B92F65" w:rsidRDefault="00E270CF" w:rsidP="006A7CDC">
            <w:pPr>
              <w:jc w:val="both"/>
              <w:rPr>
                <w:sz w:val="20"/>
                <w:szCs w:val="20"/>
              </w:rPr>
            </w:pPr>
          </w:p>
          <w:p w14:paraId="7D5396B1" w14:textId="77777777" w:rsidR="00E270CF" w:rsidRPr="00B92F65" w:rsidRDefault="00E270CF" w:rsidP="006A7CDC">
            <w:pPr>
              <w:jc w:val="both"/>
              <w:rPr>
                <w:sz w:val="20"/>
                <w:szCs w:val="20"/>
              </w:rPr>
            </w:pPr>
          </w:p>
          <w:p w14:paraId="0AC8EE7A" w14:textId="77777777" w:rsidR="00E270CF" w:rsidRPr="00B92F65" w:rsidRDefault="00E270CF" w:rsidP="006A7CDC">
            <w:pPr>
              <w:jc w:val="both"/>
              <w:rPr>
                <w:sz w:val="20"/>
                <w:szCs w:val="20"/>
              </w:rPr>
            </w:pPr>
          </w:p>
          <w:p w14:paraId="597180A1" w14:textId="77777777" w:rsidR="00E270CF" w:rsidRPr="00B92F65" w:rsidRDefault="00E270CF" w:rsidP="006A7CDC">
            <w:pPr>
              <w:jc w:val="both"/>
              <w:rPr>
                <w:sz w:val="20"/>
                <w:szCs w:val="20"/>
              </w:rPr>
            </w:pPr>
          </w:p>
          <w:p w14:paraId="7260972C" w14:textId="77777777" w:rsidR="00E270CF" w:rsidRPr="00B92F65" w:rsidRDefault="00E270CF" w:rsidP="006A7CDC">
            <w:pPr>
              <w:jc w:val="both"/>
              <w:rPr>
                <w:sz w:val="20"/>
                <w:szCs w:val="20"/>
              </w:rPr>
            </w:pPr>
          </w:p>
          <w:p w14:paraId="7E946865" w14:textId="77777777" w:rsidR="00E270CF" w:rsidRPr="00B92F65" w:rsidRDefault="00E270CF" w:rsidP="006A7CDC">
            <w:pPr>
              <w:jc w:val="both"/>
              <w:rPr>
                <w:sz w:val="20"/>
                <w:szCs w:val="20"/>
              </w:rPr>
            </w:pPr>
          </w:p>
          <w:p w14:paraId="1E75DCCF" w14:textId="77777777" w:rsidR="00E270CF" w:rsidRPr="00B92F65" w:rsidRDefault="00E270CF" w:rsidP="006A7CDC">
            <w:pPr>
              <w:jc w:val="both"/>
              <w:rPr>
                <w:sz w:val="20"/>
                <w:szCs w:val="20"/>
              </w:rPr>
            </w:pPr>
          </w:p>
          <w:p w14:paraId="2AA4BD41" w14:textId="77777777" w:rsidR="00E270CF" w:rsidRPr="00B92F65" w:rsidRDefault="00E270CF" w:rsidP="006A7CDC">
            <w:pPr>
              <w:jc w:val="both"/>
              <w:rPr>
                <w:sz w:val="20"/>
                <w:szCs w:val="20"/>
              </w:rPr>
            </w:pPr>
          </w:p>
        </w:tc>
        <w:tc>
          <w:tcPr>
            <w:tcW w:w="268" w:type="pct"/>
            <w:tcBorders>
              <w:bottom w:val="single" w:sz="4" w:space="0" w:color="auto"/>
            </w:tcBorders>
          </w:tcPr>
          <w:p w14:paraId="0CFD281B" w14:textId="77777777" w:rsidR="00E270CF" w:rsidRPr="00B92F65" w:rsidRDefault="00E270CF" w:rsidP="006A7CDC">
            <w:pPr>
              <w:jc w:val="both"/>
              <w:rPr>
                <w:sz w:val="20"/>
                <w:szCs w:val="20"/>
              </w:rPr>
            </w:pPr>
            <w:r w:rsidRPr="00B92F65">
              <w:rPr>
                <w:sz w:val="20"/>
                <w:szCs w:val="20"/>
              </w:rPr>
              <w:t>RRF</w:t>
            </w:r>
          </w:p>
        </w:tc>
        <w:tc>
          <w:tcPr>
            <w:tcW w:w="605" w:type="pct"/>
            <w:tcBorders>
              <w:bottom w:val="single" w:sz="4" w:space="0" w:color="auto"/>
            </w:tcBorders>
          </w:tcPr>
          <w:p w14:paraId="66F83DD7" w14:textId="2B4C3F28" w:rsidR="00E270CF" w:rsidRPr="005C34A0" w:rsidRDefault="00E17C37" w:rsidP="005C34A0">
            <w:pPr>
              <w:rPr>
                <w:sz w:val="20"/>
                <w:szCs w:val="20"/>
              </w:rPr>
            </w:pPr>
            <w:r>
              <w:rPr>
                <w:sz w:val="20"/>
                <w:szCs w:val="20"/>
              </w:rPr>
              <w:t>C</w:t>
            </w:r>
            <w:r w:rsidR="00E270CF" w:rsidRPr="005C34A0">
              <w:rPr>
                <w:sz w:val="20"/>
                <w:szCs w:val="20"/>
              </w:rPr>
              <w:t>onsultant</w:t>
            </w:r>
            <w:r>
              <w:rPr>
                <w:sz w:val="20"/>
                <w:szCs w:val="20"/>
              </w:rPr>
              <w:t>s</w:t>
            </w:r>
          </w:p>
        </w:tc>
        <w:tc>
          <w:tcPr>
            <w:tcW w:w="355" w:type="pct"/>
            <w:tcBorders>
              <w:bottom w:val="single" w:sz="4" w:space="0" w:color="auto"/>
            </w:tcBorders>
          </w:tcPr>
          <w:p w14:paraId="5C695D7C" w14:textId="77777777" w:rsidR="00E270CF" w:rsidRPr="00B92F65" w:rsidRDefault="00E270CF" w:rsidP="006A7CDC">
            <w:pPr>
              <w:jc w:val="both"/>
              <w:rPr>
                <w:sz w:val="20"/>
                <w:szCs w:val="20"/>
              </w:rPr>
            </w:pPr>
            <w:r w:rsidRPr="00B92F65">
              <w:rPr>
                <w:color w:val="000000"/>
                <w:sz w:val="20"/>
                <w:szCs w:val="20"/>
                <w:bdr w:val="none" w:sz="0" w:space="0" w:color="auto" w:frame="1"/>
              </w:rPr>
              <w:t xml:space="preserve">100,000 </w:t>
            </w:r>
          </w:p>
          <w:p w14:paraId="51344BF7" w14:textId="77777777" w:rsidR="00E270CF" w:rsidRPr="00B92F65" w:rsidRDefault="00E270CF" w:rsidP="006A7CDC">
            <w:pPr>
              <w:jc w:val="both"/>
              <w:rPr>
                <w:sz w:val="20"/>
                <w:szCs w:val="20"/>
              </w:rPr>
            </w:pPr>
          </w:p>
          <w:p w14:paraId="5E532E7A" w14:textId="77777777" w:rsidR="00E270CF" w:rsidRPr="00B92F65" w:rsidRDefault="00E270CF" w:rsidP="006A7CDC">
            <w:pPr>
              <w:jc w:val="both"/>
              <w:rPr>
                <w:sz w:val="20"/>
                <w:szCs w:val="20"/>
              </w:rPr>
            </w:pPr>
          </w:p>
          <w:p w14:paraId="382ADFCE" w14:textId="77777777" w:rsidR="00E270CF" w:rsidRPr="00B92F65" w:rsidRDefault="00E270CF" w:rsidP="006A7CDC">
            <w:pPr>
              <w:jc w:val="both"/>
              <w:rPr>
                <w:sz w:val="20"/>
                <w:szCs w:val="20"/>
              </w:rPr>
            </w:pPr>
          </w:p>
        </w:tc>
      </w:tr>
      <w:tr w:rsidR="001F54B9" w:rsidRPr="006A7CDC" w14:paraId="0523544D" w14:textId="77777777" w:rsidTr="006B2410">
        <w:trPr>
          <w:cantSplit/>
          <w:trHeight w:val="260"/>
        </w:trPr>
        <w:tc>
          <w:tcPr>
            <w:tcW w:w="1258" w:type="pct"/>
            <w:vMerge/>
          </w:tcPr>
          <w:p w14:paraId="14B3BAEA" w14:textId="77777777" w:rsidR="00E270CF" w:rsidRPr="006A7CDC" w:rsidRDefault="00E270CF" w:rsidP="006A7CDC">
            <w:pPr>
              <w:jc w:val="both"/>
              <w:rPr>
                <w:b/>
                <w:i/>
                <w:sz w:val="20"/>
                <w:szCs w:val="20"/>
              </w:rPr>
            </w:pPr>
          </w:p>
        </w:tc>
        <w:tc>
          <w:tcPr>
            <w:tcW w:w="1222" w:type="pct"/>
            <w:tcBorders>
              <w:bottom w:val="single" w:sz="4" w:space="0" w:color="auto"/>
            </w:tcBorders>
            <w:shd w:val="clear" w:color="auto" w:fill="FFFFFF" w:themeFill="background1"/>
          </w:tcPr>
          <w:p w14:paraId="4E167115" w14:textId="77777777" w:rsidR="00E270CF" w:rsidRPr="005C34A0" w:rsidRDefault="00E270CF" w:rsidP="006A7CDC">
            <w:pPr>
              <w:pStyle w:val="ListParagraph"/>
              <w:jc w:val="both"/>
              <w:rPr>
                <w:sz w:val="20"/>
                <w:szCs w:val="20"/>
              </w:rPr>
            </w:pPr>
          </w:p>
          <w:p w14:paraId="4DFD16CF" w14:textId="77777777" w:rsidR="00E270CF" w:rsidRPr="00B92F65" w:rsidRDefault="00E270CF" w:rsidP="006A7CDC">
            <w:pPr>
              <w:contextualSpacing/>
              <w:jc w:val="both"/>
              <w:rPr>
                <w:b/>
                <w:bCs/>
                <w:sz w:val="20"/>
                <w:szCs w:val="20"/>
              </w:rPr>
            </w:pPr>
            <w:r w:rsidRPr="00B92F65">
              <w:rPr>
                <w:b/>
                <w:bCs/>
                <w:sz w:val="20"/>
                <w:szCs w:val="20"/>
              </w:rPr>
              <w:t xml:space="preserve">Activity 2.2.: </w:t>
            </w:r>
            <w:r w:rsidRPr="00B92F65">
              <w:rPr>
                <w:sz w:val="20"/>
                <w:szCs w:val="20"/>
              </w:rPr>
              <w:t xml:space="preserve">Responsive, transparent, consistent public information on COVID-19 </w:t>
            </w:r>
            <w:r w:rsidR="006A7CDC" w:rsidRPr="00B92F65">
              <w:rPr>
                <w:sz w:val="20"/>
                <w:szCs w:val="20"/>
              </w:rPr>
              <w:t>is developed</w:t>
            </w:r>
            <w:r w:rsidRPr="00B92F65">
              <w:rPr>
                <w:sz w:val="20"/>
                <w:szCs w:val="20"/>
              </w:rPr>
              <w:t xml:space="preserve"> and disseminated through trusted channels of communication at national and municipal levels, including by journalists, community-based networks and key influencers.</w:t>
            </w:r>
          </w:p>
          <w:p w14:paraId="0160D76C" w14:textId="77777777" w:rsidR="00E270CF" w:rsidRPr="00B92F65" w:rsidRDefault="00E270CF" w:rsidP="006A7CDC">
            <w:pPr>
              <w:jc w:val="both"/>
              <w:rPr>
                <w:sz w:val="20"/>
                <w:szCs w:val="20"/>
              </w:rPr>
            </w:pPr>
          </w:p>
          <w:p w14:paraId="7B350400" w14:textId="77777777" w:rsidR="00E270CF" w:rsidRPr="005C34A0" w:rsidRDefault="00E270CF" w:rsidP="006A7CDC">
            <w:pPr>
              <w:pStyle w:val="ListParagraph"/>
              <w:spacing w:line="259" w:lineRule="auto"/>
              <w:jc w:val="both"/>
              <w:rPr>
                <w:sz w:val="20"/>
                <w:szCs w:val="20"/>
              </w:rPr>
            </w:pPr>
          </w:p>
          <w:p w14:paraId="3BE775ED" w14:textId="77777777" w:rsidR="00E270CF" w:rsidRPr="00B92F65" w:rsidRDefault="00E270CF" w:rsidP="006A7CDC">
            <w:pPr>
              <w:jc w:val="both"/>
              <w:rPr>
                <w:i/>
                <w:iCs/>
                <w:sz w:val="20"/>
                <w:szCs w:val="20"/>
              </w:rPr>
            </w:pPr>
          </w:p>
        </w:tc>
        <w:tc>
          <w:tcPr>
            <w:tcW w:w="190" w:type="pct"/>
            <w:tcBorders>
              <w:bottom w:val="single" w:sz="4" w:space="0" w:color="auto"/>
            </w:tcBorders>
            <w:shd w:val="clear" w:color="auto" w:fill="FFFFFF" w:themeFill="background1"/>
          </w:tcPr>
          <w:p w14:paraId="39A3E921" w14:textId="77777777" w:rsidR="00E270CF" w:rsidRPr="00B92F65" w:rsidRDefault="00E270CF" w:rsidP="006A7CDC">
            <w:pPr>
              <w:jc w:val="both"/>
              <w:rPr>
                <w:sz w:val="20"/>
                <w:szCs w:val="20"/>
              </w:rPr>
            </w:pPr>
            <w:r w:rsidRPr="00B92F65">
              <w:rPr>
                <w:sz w:val="20"/>
                <w:szCs w:val="20"/>
              </w:rPr>
              <w:t>X</w:t>
            </w:r>
          </w:p>
        </w:tc>
        <w:tc>
          <w:tcPr>
            <w:tcW w:w="175" w:type="pct"/>
            <w:tcBorders>
              <w:bottom w:val="single" w:sz="4" w:space="0" w:color="auto"/>
            </w:tcBorders>
            <w:shd w:val="clear" w:color="auto" w:fill="FFFFFF" w:themeFill="background1"/>
          </w:tcPr>
          <w:p w14:paraId="60335D45" w14:textId="77777777" w:rsidR="00E270CF" w:rsidRPr="00B92F65" w:rsidRDefault="00E270CF" w:rsidP="006A7CDC">
            <w:pPr>
              <w:jc w:val="both"/>
              <w:rPr>
                <w:sz w:val="20"/>
                <w:szCs w:val="20"/>
              </w:rPr>
            </w:pPr>
            <w:r w:rsidRPr="00B92F65">
              <w:rPr>
                <w:sz w:val="20"/>
                <w:szCs w:val="20"/>
              </w:rPr>
              <w:t>X</w:t>
            </w:r>
          </w:p>
        </w:tc>
        <w:tc>
          <w:tcPr>
            <w:tcW w:w="177" w:type="pct"/>
            <w:tcBorders>
              <w:bottom w:val="single" w:sz="4" w:space="0" w:color="auto"/>
            </w:tcBorders>
            <w:shd w:val="clear" w:color="auto" w:fill="FFFFFF" w:themeFill="background1"/>
          </w:tcPr>
          <w:p w14:paraId="2D8E0871" w14:textId="77777777" w:rsidR="00E270CF" w:rsidRPr="00B92F65" w:rsidRDefault="00E270CF" w:rsidP="006A7CDC">
            <w:pPr>
              <w:jc w:val="both"/>
              <w:rPr>
                <w:iCs/>
                <w:color w:val="000000"/>
                <w:sz w:val="20"/>
                <w:szCs w:val="20"/>
                <w:bdr w:val="none" w:sz="0" w:space="0" w:color="auto" w:frame="1"/>
              </w:rPr>
            </w:pPr>
          </w:p>
        </w:tc>
        <w:tc>
          <w:tcPr>
            <w:tcW w:w="749" w:type="pct"/>
            <w:tcBorders>
              <w:bottom w:val="single" w:sz="4" w:space="0" w:color="auto"/>
            </w:tcBorders>
            <w:shd w:val="clear" w:color="auto" w:fill="FFFFFF" w:themeFill="background1"/>
          </w:tcPr>
          <w:p w14:paraId="3CE6B1DD" w14:textId="77777777" w:rsidR="00E270CF" w:rsidRPr="00B92F65" w:rsidRDefault="00E270CF" w:rsidP="006A7CDC">
            <w:pPr>
              <w:jc w:val="both"/>
              <w:rPr>
                <w:iCs/>
                <w:sz w:val="20"/>
                <w:szCs w:val="20"/>
              </w:rPr>
            </w:pPr>
            <w:r w:rsidRPr="00B92F65">
              <w:rPr>
                <w:iCs/>
                <w:color w:val="000000"/>
                <w:sz w:val="20"/>
                <w:szCs w:val="20"/>
                <w:bdr w:val="none" w:sz="0" w:space="0" w:color="auto" w:frame="1"/>
              </w:rPr>
              <w:t xml:space="preserve">UNDP, </w:t>
            </w:r>
            <w:proofErr w:type="spellStart"/>
            <w:r w:rsidRPr="00B92F65">
              <w:rPr>
                <w:iCs/>
                <w:color w:val="000000"/>
                <w:sz w:val="20"/>
                <w:szCs w:val="20"/>
                <w:bdr w:val="none" w:sz="0" w:space="0" w:color="auto" w:frame="1"/>
              </w:rPr>
              <w:t>MoH</w:t>
            </w:r>
            <w:proofErr w:type="spellEnd"/>
            <w:r w:rsidRPr="00B92F65">
              <w:rPr>
                <w:iCs/>
                <w:color w:val="000000"/>
                <w:sz w:val="20"/>
                <w:szCs w:val="20"/>
                <w:bdr w:val="none" w:sz="0" w:space="0" w:color="auto" w:frame="1"/>
              </w:rPr>
              <w:t>, UNSMIL, Municipalities</w:t>
            </w:r>
            <w:r w:rsidR="001F54B9" w:rsidRPr="00B92F65">
              <w:rPr>
                <w:iCs/>
                <w:color w:val="000000"/>
                <w:sz w:val="20"/>
                <w:szCs w:val="20"/>
                <w:bdr w:val="none" w:sz="0" w:space="0" w:color="auto" w:frame="1"/>
              </w:rPr>
              <w:t xml:space="preserve">, Local </w:t>
            </w:r>
            <w:r w:rsidR="006A7CDC" w:rsidRPr="00B92F65">
              <w:rPr>
                <w:iCs/>
                <w:color w:val="000000"/>
                <w:sz w:val="20"/>
                <w:szCs w:val="20"/>
                <w:bdr w:val="none" w:sz="0" w:space="0" w:color="auto" w:frame="1"/>
              </w:rPr>
              <w:t xml:space="preserve">actors (i.e., </w:t>
            </w:r>
            <w:r w:rsidR="001F54B9" w:rsidRPr="00B92F65">
              <w:rPr>
                <w:iCs/>
                <w:color w:val="000000"/>
                <w:sz w:val="20"/>
                <w:szCs w:val="20"/>
                <w:bdr w:val="none" w:sz="0" w:space="0" w:color="auto" w:frame="1"/>
              </w:rPr>
              <w:t>Mediators, CBOs, NGOs</w:t>
            </w:r>
            <w:r w:rsidR="006A7CDC" w:rsidRPr="00B92F65">
              <w:rPr>
                <w:iCs/>
                <w:color w:val="000000"/>
                <w:sz w:val="20"/>
                <w:szCs w:val="20"/>
                <w:bdr w:val="none" w:sz="0" w:space="0" w:color="auto" w:frame="1"/>
              </w:rPr>
              <w:t>)</w:t>
            </w:r>
          </w:p>
        </w:tc>
        <w:tc>
          <w:tcPr>
            <w:tcW w:w="268" w:type="pct"/>
            <w:tcBorders>
              <w:bottom w:val="single" w:sz="4" w:space="0" w:color="auto"/>
            </w:tcBorders>
            <w:shd w:val="clear" w:color="auto" w:fill="FFFFFF" w:themeFill="background1"/>
          </w:tcPr>
          <w:p w14:paraId="79424AD1" w14:textId="77777777" w:rsidR="00E270CF" w:rsidRPr="00B92F65" w:rsidRDefault="00E270CF" w:rsidP="006A7CDC">
            <w:pPr>
              <w:jc w:val="both"/>
              <w:rPr>
                <w:sz w:val="20"/>
                <w:szCs w:val="20"/>
              </w:rPr>
            </w:pPr>
            <w:r w:rsidRPr="00B92F65">
              <w:rPr>
                <w:sz w:val="20"/>
                <w:szCs w:val="20"/>
              </w:rPr>
              <w:t>RRF</w:t>
            </w:r>
          </w:p>
        </w:tc>
        <w:tc>
          <w:tcPr>
            <w:tcW w:w="605" w:type="pct"/>
            <w:tcBorders>
              <w:bottom w:val="single" w:sz="4" w:space="0" w:color="auto"/>
            </w:tcBorders>
            <w:shd w:val="clear" w:color="auto" w:fill="FFFFFF" w:themeFill="background1"/>
          </w:tcPr>
          <w:p w14:paraId="7F3D2477" w14:textId="77777777" w:rsidR="00E270CF" w:rsidRPr="005C34A0" w:rsidRDefault="00E270CF" w:rsidP="006A7CDC">
            <w:pPr>
              <w:jc w:val="both"/>
              <w:rPr>
                <w:sz w:val="20"/>
                <w:szCs w:val="20"/>
              </w:rPr>
            </w:pPr>
            <w:proofErr w:type="spellStart"/>
            <w:r w:rsidRPr="005C34A0">
              <w:rPr>
                <w:sz w:val="20"/>
                <w:szCs w:val="20"/>
              </w:rPr>
              <w:t>Audiovisual</w:t>
            </w:r>
            <w:proofErr w:type="spellEnd"/>
            <w:r w:rsidRPr="005C34A0">
              <w:rPr>
                <w:sz w:val="20"/>
                <w:szCs w:val="20"/>
              </w:rPr>
              <w:t>, print, production costs</w:t>
            </w:r>
          </w:p>
          <w:p w14:paraId="67ACE2D6" w14:textId="77777777" w:rsidR="00E270CF" w:rsidRPr="005C34A0" w:rsidRDefault="00E270CF" w:rsidP="006A7CDC">
            <w:pPr>
              <w:jc w:val="both"/>
              <w:rPr>
                <w:sz w:val="20"/>
                <w:szCs w:val="20"/>
              </w:rPr>
            </w:pPr>
          </w:p>
          <w:p w14:paraId="6E872473" w14:textId="77777777" w:rsidR="00E270CF" w:rsidRPr="005C34A0" w:rsidRDefault="00E270CF" w:rsidP="006A7CDC">
            <w:pPr>
              <w:jc w:val="both"/>
              <w:rPr>
                <w:sz w:val="20"/>
                <w:szCs w:val="20"/>
              </w:rPr>
            </w:pPr>
            <w:r w:rsidRPr="005C34A0">
              <w:rPr>
                <w:sz w:val="20"/>
                <w:szCs w:val="20"/>
              </w:rPr>
              <w:t>Workshops</w:t>
            </w:r>
          </w:p>
          <w:p w14:paraId="518E4185" w14:textId="77777777" w:rsidR="00E270CF" w:rsidRPr="005C34A0" w:rsidRDefault="00E270CF" w:rsidP="006A7CDC">
            <w:pPr>
              <w:jc w:val="both"/>
              <w:rPr>
                <w:sz w:val="20"/>
                <w:szCs w:val="20"/>
              </w:rPr>
            </w:pPr>
          </w:p>
          <w:p w14:paraId="59745AF7" w14:textId="77777777" w:rsidR="00E270CF" w:rsidRPr="005C34A0" w:rsidRDefault="00E270CF" w:rsidP="006A7CDC">
            <w:pPr>
              <w:jc w:val="both"/>
              <w:rPr>
                <w:sz w:val="20"/>
                <w:szCs w:val="20"/>
              </w:rPr>
            </w:pPr>
            <w:r w:rsidRPr="005C34A0">
              <w:rPr>
                <w:sz w:val="20"/>
                <w:szCs w:val="20"/>
              </w:rPr>
              <w:t>Consultants</w:t>
            </w:r>
          </w:p>
          <w:p w14:paraId="5FD292CA" w14:textId="77777777" w:rsidR="00E270CF" w:rsidRPr="005C34A0" w:rsidRDefault="00E270CF" w:rsidP="006A7CDC">
            <w:pPr>
              <w:jc w:val="both"/>
              <w:rPr>
                <w:sz w:val="20"/>
                <w:szCs w:val="20"/>
              </w:rPr>
            </w:pPr>
          </w:p>
          <w:p w14:paraId="2C564027" w14:textId="77777777" w:rsidR="00E270CF" w:rsidRPr="005C34A0" w:rsidRDefault="00E270CF" w:rsidP="006A7CDC">
            <w:pPr>
              <w:jc w:val="both"/>
              <w:rPr>
                <w:sz w:val="20"/>
                <w:szCs w:val="20"/>
              </w:rPr>
            </w:pPr>
            <w:r w:rsidRPr="005C34A0">
              <w:rPr>
                <w:sz w:val="20"/>
                <w:szCs w:val="20"/>
              </w:rPr>
              <w:t>Equipment</w:t>
            </w:r>
          </w:p>
          <w:p w14:paraId="03E7D9CF" w14:textId="77777777" w:rsidR="00E270CF" w:rsidRPr="005C34A0" w:rsidRDefault="00E270CF" w:rsidP="006A7CDC">
            <w:pPr>
              <w:jc w:val="both"/>
              <w:rPr>
                <w:sz w:val="20"/>
                <w:szCs w:val="20"/>
              </w:rPr>
            </w:pPr>
          </w:p>
          <w:p w14:paraId="709B922B" w14:textId="77777777" w:rsidR="00E270CF" w:rsidRPr="00B92F65" w:rsidRDefault="00E270CF" w:rsidP="006A7CDC">
            <w:pPr>
              <w:jc w:val="both"/>
              <w:rPr>
                <w:sz w:val="20"/>
                <w:szCs w:val="20"/>
              </w:rPr>
            </w:pPr>
          </w:p>
        </w:tc>
        <w:tc>
          <w:tcPr>
            <w:tcW w:w="355" w:type="pct"/>
            <w:tcBorders>
              <w:bottom w:val="single" w:sz="4" w:space="0" w:color="auto"/>
            </w:tcBorders>
            <w:shd w:val="clear" w:color="auto" w:fill="FFFFFF" w:themeFill="background1"/>
          </w:tcPr>
          <w:p w14:paraId="1B436FC3" w14:textId="77777777" w:rsidR="00E270CF" w:rsidRPr="00B92F65" w:rsidRDefault="00E270CF" w:rsidP="006A7CDC">
            <w:pPr>
              <w:jc w:val="both"/>
              <w:rPr>
                <w:b/>
                <w:sz w:val="20"/>
                <w:szCs w:val="20"/>
              </w:rPr>
            </w:pPr>
            <w:r w:rsidRPr="00B92F65">
              <w:rPr>
                <w:color w:val="000000"/>
                <w:sz w:val="20"/>
                <w:szCs w:val="20"/>
                <w:bdr w:val="none" w:sz="0" w:space="0" w:color="auto" w:frame="1"/>
              </w:rPr>
              <w:t xml:space="preserve">30,000 </w:t>
            </w:r>
          </w:p>
        </w:tc>
      </w:tr>
      <w:tr w:rsidR="001F54B9" w:rsidRPr="006A7CDC" w14:paraId="59B52E84" w14:textId="77777777" w:rsidTr="006B2410">
        <w:trPr>
          <w:cantSplit/>
          <w:trHeight w:val="260"/>
        </w:trPr>
        <w:tc>
          <w:tcPr>
            <w:tcW w:w="1258" w:type="pct"/>
            <w:tcBorders>
              <w:bottom w:val="single" w:sz="4" w:space="0" w:color="auto"/>
            </w:tcBorders>
            <w:shd w:val="clear" w:color="auto" w:fill="BFBFBF" w:themeFill="background1" w:themeFillShade="BF"/>
          </w:tcPr>
          <w:p w14:paraId="3765B3E3" w14:textId="77777777" w:rsidR="00E270CF" w:rsidRPr="006A7CDC" w:rsidRDefault="00E270CF" w:rsidP="006A7CDC">
            <w:pPr>
              <w:jc w:val="both"/>
              <w:rPr>
                <w:b/>
                <w:i/>
                <w:sz w:val="20"/>
                <w:szCs w:val="20"/>
              </w:rPr>
            </w:pPr>
            <w:r w:rsidRPr="006A7CDC">
              <w:rPr>
                <w:b/>
                <w:i/>
                <w:sz w:val="20"/>
                <w:szCs w:val="20"/>
              </w:rPr>
              <w:t>Output 2 subtotal</w:t>
            </w:r>
          </w:p>
        </w:tc>
        <w:tc>
          <w:tcPr>
            <w:tcW w:w="1222" w:type="pct"/>
            <w:tcBorders>
              <w:bottom w:val="single" w:sz="4" w:space="0" w:color="auto"/>
            </w:tcBorders>
            <w:shd w:val="clear" w:color="auto" w:fill="BFBFBF" w:themeFill="background1" w:themeFillShade="BF"/>
          </w:tcPr>
          <w:p w14:paraId="53B2E1DB" w14:textId="77777777" w:rsidR="00E270CF" w:rsidRPr="006A7CDC" w:rsidRDefault="00E270CF" w:rsidP="006A7CDC">
            <w:pPr>
              <w:jc w:val="both"/>
              <w:rPr>
                <w:i/>
                <w:iCs/>
                <w:sz w:val="20"/>
                <w:szCs w:val="20"/>
              </w:rPr>
            </w:pPr>
          </w:p>
        </w:tc>
        <w:tc>
          <w:tcPr>
            <w:tcW w:w="190" w:type="pct"/>
            <w:tcBorders>
              <w:bottom w:val="single" w:sz="4" w:space="0" w:color="auto"/>
            </w:tcBorders>
            <w:shd w:val="clear" w:color="auto" w:fill="BFBFBF" w:themeFill="background1" w:themeFillShade="BF"/>
          </w:tcPr>
          <w:p w14:paraId="108F78F6" w14:textId="77777777" w:rsidR="00E270CF" w:rsidRPr="006A7CDC" w:rsidRDefault="00E270CF" w:rsidP="006A7CDC">
            <w:pPr>
              <w:jc w:val="both"/>
              <w:rPr>
                <w:sz w:val="20"/>
                <w:szCs w:val="20"/>
              </w:rPr>
            </w:pPr>
          </w:p>
        </w:tc>
        <w:tc>
          <w:tcPr>
            <w:tcW w:w="175" w:type="pct"/>
            <w:tcBorders>
              <w:bottom w:val="single" w:sz="4" w:space="0" w:color="auto"/>
            </w:tcBorders>
            <w:shd w:val="clear" w:color="auto" w:fill="BFBFBF" w:themeFill="background1" w:themeFillShade="BF"/>
          </w:tcPr>
          <w:p w14:paraId="6B202625" w14:textId="77777777" w:rsidR="00E270CF" w:rsidRPr="006A7CDC" w:rsidRDefault="00E270CF" w:rsidP="006A7CDC">
            <w:pPr>
              <w:jc w:val="both"/>
              <w:rPr>
                <w:sz w:val="20"/>
                <w:szCs w:val="20"/>
              </w:rPr>
            </w:pPr>
          </w:p>
        </w:tc>
        <w:tc>
          <w:tcPr>
            <w:tcW w:w="177" w:type="pct"/>
            <w:tcBorders>
              <w:bottom w:val="single" w:sz="4" w:space="0" w:color="auto"/>
            </w:tcBorders>
            <w:shd w:val="clear" w:color="auto" w:fill="BFBFBF" w:themeFill="background1" w:themeFillShade="BF"/>
          </w:tcPr>
          <w:p w14:paraId="4B643CCC" w14:textId="77777777" w:rsidR="00E270CF" w:rsidRPr="006A7CDC" w:rsidRDefault="00E270CF" w:rsidP="006A7CDC">
            <w:pPr>
              <w:jc w:val="both"/>
              <w:rPr>
                <w:sz w:val="20"/>
                <w:szCs w:val="20"/>
              </w:rPr>
            </w:pPr>
          </w:p>
        </w:tc>
        <w:tc>
          <w:tcPr>
            <w:tcW w:w="749" w:type="pct"/>
            <w:tcBorders>
              <w:bottom w:val="single" w:sz="4" w:space="0" w:color="auto"/>
            </w:tcBorders>
            <w:shd w:val="clear" w:color="auto" w:fill="BFBFBF" w:themeFill="background1" w:themeFillShade="BF"/>
          </w:tcPr>
          <w:p w14:paraId="5F7D328D" w14:textId="77777777" w:rsidR="00E270CF" w:rsidRPr="006A7CDC" w:rsidRDefault="00E270CF" w:rsidP="006A7CDC">
            <w:pPr>
              <w:jc w:val="both"/>
              <w:rPr>
                <w:sz w:val="20"/>
                <w:szCs w:val="20"/>
              </w:rPr>
            </w:pPr>
          </w:p>
        </w:tc>
        <w:tc>
          <w:tcPr>
            <w:tcW w:w="268" w:type="pct"/>
            <w:tcBorders>
              <w:bottom w:val="single" w:sz="4" w:space="0" w:color="auto"/>
            </w:tcBorders>
            <w:shd w:val="clear" w:color="auto" w:fill="BFBFBF" w:themeFill="background1" w:themeFillShade="BF"/>
          </w:tcPr>
          <w:p w14:paraId="61094042" w14:textId="77777777" w:rsidR="00E270CF" w:rsidRPr="006A7CDC" w:rsidRDefault="00E270CF" w:rsidP="006A7CDC">
            <w:pPr>
              <w:jc w:val="both"/>
              <w:rPr>
                <w:sz w:val="20"/>
                <w:szCs w:val="20"/>
              </w:rPr>
            </w:pPr>
          </w:p>
        </w:tc>
        <w:tc>
          <w:tcPr>
            <w:tcW w:w="605" w:type="pct"/>
            <w:tcBorders>
              <w:bottom w:val="single" w:sz="4" w:space="0" w:color="auto"/>
            </w:tcBorders>
            <w:shd w:val="clear" w:color="auto" w:fill="BFBFBF" w:themeFill="background1" w:themeFillShade="BF"/>
          </w:tcPr>
          <w:p w14:paraId="3AF3198A" w14:textId="77777777" w:rsidR="00E270CF" w:rsidRPr="006A7CDC" w:rsidRDefault="00E270CF" w:rsidP="006A7CDC">
            <w:pPr>
              <w:jc w:val="both"/>
              <w:rPr>
                <w:sz w:val="20"/>
                <w:szCs w:val="20"/>
              </w:rPr>
            </w:pPr>
          </w:p>
        </w:tc>
        <w:tc>
          <w:tcPr>
            <w:tcW w:w="355" w:type="pct"/>
            <w:tcBorders>
              <w:bottom w:val="single" w:sz="4" w:space="0" w:color="auto"/>
            </w:tcBorders>
            <w:shd w:val="clear" w:color="auto" w:fill="BFBFBF" w:themeFill="background1" w:themeFillShade="BF"/>
          </w:tcPr>
          <w:p w14:paraId="1B279CC0" w14:textId="77777777" w:rsidR="00E270CF" w:rsidRPr="006A7CDC" w:rsidRDefault="00E270CF" w:rsidP="006A7CDC">
            <w:pPr>
              <w:jc w:val="both"/>
              <w:rPr>
                <w:b/>
                <w:sz w:val="20"/>
                <w:szCs w:val="20"/>
              </w:rPr>
            </w:pPr>
            <w:r w:rsidRPr="006A7CDC">
              <w:rPr>
                <w:b/>
                <w:sz w:val="20"/>
                <w:szCs w:val="20"/>
              </w:rPr>
              <w:t>130,000</w:t>
            </w:r>
          </w:p>
        </w:tc>
      </w:tr>
      <w:tr w:rsidR="006B2410" w:rsidRPr="006A7CDC" w14:paraId="2629F1C8" w14:textId="77777777" w:rsidTr="006B2410">
        <w:trPr>
          <w:cantSplit/>
          <w:trHeight w:val="260"/>
        </w:trPr>
        <w:tc>
          <w:tcPr>
            <w:tcW w:w="1258" w:type="pct"/>
            <w:vMerge w:val="restart"/>
            <w:shd w:val="clear" w:color="auto" w:fill="auto"/>
          </w:tcPr>
          <w:p w14:paraId="16C663B5" w14:textId="14B86688" w:rsidR="006B2410" w:rsidRPr="006C24A8" w:rsidRDefault="006B2410" w:rsidP="006A7CDC">
            <w:pPr>
              <w:jc w:val="both"/>
              <w:rPr>
                <w:rFonts w:eastAsia="ArialMT"/>
                <w:i/>
                <w:sz w:val="20"/>
                <w:szCs w:val="20"/>
                <w:lang w:eastAsia="hr-HR"/>
              </w:rPr>
            </w:pPr>
            <w:r w:rsidRPr="006C24A8">
              <w:rPr>
                <w:b/>
                <w:sz w:val="20"/>
                <w:szCs w:val="20"/>
                <w:lang w:eastAsia="zh-CN"/>
              </w:rPr>
              <w:t>Output 3</w:t>
            </w:r>
            <w:r w:rsidRPr="006C24A8">
              <w:rPr>
                <w:sz w:val="20"/>
                <w:szCs w:val="20"/>
                <w:lang w:eastAsia="zh-CN"/>
              </w:rPr>
              <w:t>: Assessing the socio-economic impact of the crisis and supporting a recovery strategy and public policies for inclusive development</w:t>
            </w:r>
            <w:r>
              <w:rPr>
                <w:sz w:val="20"/>
                <w:szCs w:val="20"/>
                <w:lang w:eastAsia="zh-CN"/>
              </w:rPr>
              <w:t>.</w:t>
            </w:r>
          </w:p>
          <w:p w14:paraId="53EBE3DB" w14:textId="77777777" w:rsidR="006B2410" w:rsidRPr="006C24A8" w:rsidRDefault="006B2410" w:rsidP="006A7CDC">
            <w:pPr>
              <w:jc w:val="both"/>
              <w:rPr>
                <w:rFonts w:eastAsia="ArialMT"/>
                <w:sz w:val="20"/>
                <w:szCs w:val="20"/>
                <w:lang w:eastAsia="hr-HR"/>
              </w:rPr>
            </w:pPr>
          </w:p>
          <w:p w14:paraId="1B911EE1" w14:textId="77777777" w:rsidR="006B2410" w:rsidRPr="006C24A8" w:rsidRDefault="006B2410" w:rsidP="006A7CDC">
            <w:pPr>
              <w:ind w:left="1260" w:hanging="1260"/>
              <w:jc w:val="both"/>
              <w:rPr>
                <w:b/>
                <w:i/>
                <w:sz w:val="20"/>
                <w:szCs w:val="20"/>
              </w:rPr>
            </w:pPr>
            <w:r w:rsidRPr="006C24A8">
              <w:rPr>
                <w:b/>
                <w:i/>
                <w:sz w:val="20"/>
                <w:szCs w:val="20"/>
              </w:rPr>
              <w:t>Indicators:</w:t>
            </w:r>
          </w:p>
          <w:p w14:paraId="295A5ACE" w14:textId="0EDBC293" w:rsidR="006B2410" w:rsidRPr="006C24A8" w:rsidRDefault="006B2410" w:rsidP="006A7CDC">
            <w:pPr>
              <w:numPr>
                <w:ilvl w:val="0"/>
                <w:numId w:val="24"/>
              </w:numPr>
              <w:ind w:left="180" w:hanging="198"/>
              <w:jc w:val="both"/>
              <w:rPr>
                <w:rFonts w:eastAsia="ArialMT"/>
                <w:sz w:val="20"/>
                <w:szCs w:val="20"/>
                <w:lang w:eastAsia="hr-HR"/>
              </w:rPr>
            </w:pPr>
            <w:r w:rsidRPr="006C24A8">
              <w:rPr>
                <w:rFonts w:eastAsia="ArialMT"/>
                <w:sz w:val="20"/>
                <w:szCs w:val="20"/>
                <w:lang w:eastAsia="hr-HR"/>
              </w:rPr>
              <w:t xml:space="preserve"># of </w:t>
            </w:r>
            <w:r>
              <w:rPr>
                <w:rFonts w:eastAsia="ArialMT"/>
                <w:sz w:val="20"/>
                <w:szCs w:val="20"/>
                <w:lang w:eastAsia="hr-HR"/>
              </w:rPr>
              <w:t xml:space="preserve">gender sensitive </w:t>
            </w:r>
            <w:r w:rsidRPr="006C24A8">
              <w:rPr>
                <w:rFonts w:eastAsia="ArialMT"/>
                <w:sz w:val="20"/>
                <w:szCs w:val="20"/>
                <w:lang w:eastAsia="hr-HR"/>
              </w:rPr>
              <w:t xml:space="preserve">assessment reports </w:t>
            </w:r>
          </w:p>
          <w:p w14:paraId="0A5A6C1A" w14:textId="20ADBC49" w:rsidR="006B2410" w:rsidRPr="006C24A8" w:rsidRDefault="006B2410" w:rsidP="006A7CDC">
            <w:pPr>
              <w:numPr>
                <w:ilvl w:val="0"/>
                <w:numId w:val="24"/>
              </w:numPr>
              <w:ind w:left="180" w:hanging="198"/>
              <w:jc w:val="both"/>
              <w:rPr>
                <w:rFonts w:eastAsia="ArialMT"/>
                <w:sz w:val="20"/>
                <w:szCs w:val="20"/>
                <w:lang w:eastAsia="hr-HR"/>
              </w:rPr>
            </w:pPr>
            <w:r w:rsidRPr="006C24A8">
              <w:rPr>
                <w:rFonts w:eastAsia="ArialMT"/>
                <w:sz w:val="20"/>
                <w:szCs w:val="20"/>
                <w:lang w:eastAsia="hr-HR"/>
              </w:rPr>
              <w:t xml:space="preserve"># of </w:t>
            </w:r>
            <w:r>
              <w:rPr>
                <w:rFonts w:eastAsia="ArialMT"/>
                <w:sz w:val="20"/>
                <w:szCs w:val="20"/>
                <w:lang w:eastAsia="hr-HR"/>
              </w:rPr>
              <w:t xml:space="preserve">gender sensitive </w:t>
            </w:r>
            <w:r w:rsidRPr="006C24A8">
              <w:rPr>
                <w:rFonts w:eastAsia="ArialMT"/>
                <w:sz w:val="20"/>
                <w:szCs w:val="20"/>
                <w:lang w:eastAsia="hr-HR"/>
              </w:rPr>
              <w:t>post-COVID recovery strategy</w:t>
            </w:r>
          </w:p>
          <w:p w14:paraId="49F1DE10" w14:textId="77777777" w:rsidR="006B2410" w:rsidRPr="006C24A8" w:rsidRDefault="006B2410" w:rsidP="006A7CDC">
            <w:pPr>
              <w:ind w:left="1260" w:hanging="1260"/>
              <w:jc w:val="both"/>
              <w:rPr>
                <w:rFonts w:eastAsia="ArialMT"/>
                <w:sz w:val="20"/>
                <w:szCs w:val="20"/>
                <w:lang w:eastAsia="hr-HR"/>
              </w:rPr>
            </w:pPr>
          </w:p>
          <w:p w14:paraId="5EE0E3A0" w14:textId="77777777" w:rsidR="006B2410" w:rsidRPr="006C24A8" w:rsidRDefault="006B2410" w:rsidP="006A7CDC">
            <w:pPr>
              <w:ind w:left="1260" w:hanging="1260"/>
              <w:jc w:val="both"/>
              <w:rPr>
                <w:b/>
                <w:i/>
                <w:sz w:val="20"/>
                <w:szCs w:val="20"/>
              </w:rPr>
            </w:pPr>
            <w:r w:rsidRPr="006C24A8">
              <w:rPr>
                <w:b/>
                <w:i/>
                <w:sz w:val="20"/>
                <w:szCs w:val="20"/>
              </w:rPr>
              <w:t>Targets:</w:t>
            </w:r>
          </w:p>
          <w:p w14:paraId="74896CD4" w14:textId="05191DD2" w:rsidR="006B2410" w:rsidRPr="006C24A8" w:rsidRDefault="006B2410" w:rsidP="006A7CDC">
            <w:pPr>
              <w:numPr>
                <w:ilvl w:val="0"/>
                <w:numId w:val="24"/>
              </w:numPr>
              <w:ind w:left="180" w:hanging="198"/>
              <w:jc w:val="both"/>
              <w:rPr>
                <w:rFonts w:eastAsia="ArialMT"/>
                <w:sz w:val="20"/>
                <w:szCs w:val="20"/>
                <w:lang w:eastAsia="hr-HR"/>
              </w:rPr>
            </w:pPr>
            <w:r w:rsidRPr="6FB26674">
              <w:rPr>
                <w:rFonts w:eastAsia="ArialMT"/>
                <w:sz w:val="20"/>
                <w:szCs w:val="20"/>
                <w:lang w:eastAsia="hr-HR"/>
              </w:rPr>
              <w:t xml:space="preserve">Reports focusing on socio-economic recovery, health and socio-economic vulnerability focusing on women and </w:t>
            </w:r>
            <w:r>
              <w:rPr>
                <w:rFonts w:eastAsia="ArialMT"/>
                <w:sz w:val="20"/>
                <w:szCs w:val="20"/>
                <w:lang w:eastAsia="hr-HR"/>
              </w:rPr>
              <w:t xml:space="preserve">other </w:t>
            </w:r>
            <w:r w:rsidRPr="6FB26674">
              <w:rPr>
                <w:rFonts w:eastAsia="ArialMT"/>
                <w:sz w:val="20"/>
                <w:szCs w:val="20"/>
                <w:lang w:eastAsia="hr-HR"/>
              </w:rPr>
              <w:t>vulnerable groups (</w:t>
            </w:r>
            <w:r w:rsidRPr="00602DEA">
              <w:rPr>
                <w:rFonts w:eastAsia="ArialMT"/>
                <w:sz w:val="20"/>
                <w:szCs w:val="20"/>
                <w:lang w:eastAsia="hr-HR"/>
              </w:rPr>
              <w:t xml:space="preserve">migrants, refugees, IDPs and </w:t>
            </w:r>
            <w:r>
              <w:rPr>
                <w:rFonts w:eastAsia="ArialMT"/>
                <w:sz w:val="20"/>
                <w:szCs w:val="20"/>
                <w:lang w:eastAsia="hr-HR"/>
              </w:rPr>
              <w:t>youth</w:t>
            </w:r>
            <w:r w:rsidRPr="6FB26674">
              <w:rPr>
                <w:rFonts w:eastAsia="ArialMT"/>
                <w:sz w:val="20"/>
                <w:szCs w:val="20"/>
                <w:lang w:eastAsia="hr-HR"/>
              </w:rPr>
              <w:t>).</w:t>
            </w:r>
          </w:p>
          <w:p w14:paraId="5720FCF2" w14:textId="38361602" w:rsidR="006B2410" w:rsidRPr="006C24A8" w:rsidRDefault="006B2410" w:rsidP="006A7CDC">
            <w:pPr>
              <w:numPr>
                <w:ilvl w:val="0"/>
                <w:numId w:val="24"/>
              </w:numPr>
              <w:ind w:left="180" w:hanging="198"/>
              <w:jc w:val="both"/>
              <w:rPr>
                <w:sz w:val="20"/>
                <w:szCs w:val="20"/>
              </w:rPr>
            </w:pPr>
            <w:r w:rsidRPr="006C24A8">
              <w:rPr>
                <w:sz w:val="20"/>
                <w:szCs w:val="20"/>
              </w:rPr>
              <w:t xml:space="preserve">A </w:t>
            </w:r>
            <w:r>
              <w:rPr>
                <w:sz w:val="20"/>
                <w:szCs w:val="20"/>
              </w:rPr>
              <w:t xml:space="preserve">gender sensitive </w:t>
            </w:r>
            <w:r w:rsidRPr="006C24A8">
              <w:rPr>
                <w:sz w:val="20"/>
                <w:szCs w:val="20"/>
              </w:rPr>
              <w:t>draft strategy on post-COVID recovery strategy, policies and projects</w:t>
            </w:r>
          </w:p>
        </w:tc>
        <w:tc>
          <w:tcPr>
            <w:tcW w:w="1222" w:type="pct"/>
            <w:tcBorders>
              <w:bottom w:val="single" w:sz="4" w:space="0" w:color="auto"/>
            </w:tcBorders>
            <w:shd w:val="clear" w:color="auto" w:fill="auto"/>
          </w:tcPr>
          <w:p w14:paraId="2794BA8A" w14:textId="77777777" w:rsidR="006B2410" w:rsidRPr="006C24A8" w:rsidRDefault="006B2410" w:rsidP="006A7CDC">
            <w:pPr>
              <w:jc w:val="both"/>
              <w:rPr>
                <w:sz w:val="20"/>
                <w:szCs w:val="20"/>
                <w:lang w:eastAsia="zh-CN"/>
              </w:rPr>
            </w:pPr>
            <w:r w:rsidRPr="006C24A8">
              <w:rPr>
                <w:b/>
                <w:sz w:val="20"/>
                <w:szCs w:val="20"/>
                <w:lang w:eastAsia="zh-CN"/>
              </w:rPr>
              <w:lastRenderedPageBreak/>
              <w:t>Activity 3.1</w:t>
            </w:r>
            <w:r w:rsidRPr="006C24A8">
              <w:rPr>
                <w:sz w:val="20"/>
                <w:szCs w:val="20"/>
                <w:lang w:eastAsia="zh-CN"/>
              </w:rPr>
              <w:t xml:space="preserve"> </w:t>
            </w:r>
          </w:p>
          <w:p w14:paraId="0FC505D2" w14:textId="271FB7A0" w:rsidR="006B2410" w:rsidRPr="006C24A8" w:rsidRDefault="006B2410" w:rsidP="006A7CDC">
            <w:pPr>
              <w:jc w:val="both"/>
              <w:rPr>
                <w:sz w:val="20"/>
                <w:szCs w:val="20"/>
                <w:lang w:eastAsia="zh-CN"/>
              </w:rPr>
            </w:pPr>
            <w:r w:rsidRPr="006C24A8">
              <w:rPr>
                <w:sz w:val="20"/>
                <w:szCs w:val="20"/>
                <w:lang w:eastAsia="zh-CN"/>
              </w:rPr>
              <w:t>Development of an impact assessment tool/methodology</w:t>
            </w:r>
            <w:r w:rsidRPr="006C24A8" w:rsidDel="0031718B">
              <w:rPr>
                <w:sz w:val="20"/>
                <w:szCs w:val="20"/>
                <w:lang w:eastAsia="zh-CN"/>
              </w:rPr>
              <w:t xml:space="preserve"> </w:t>
            </w:r>
          </w:p>
          <w:p w14:paraId="147CF9EC" w14:textId="77777777" w:rsidR="006B2410" w:rsidRPr="006C24A8" w:rsidRDefault="006B2410" w:rsidP="006A7CDC">
            <w:pPr>
              <w:jc w:val="both"/>
              <w:rPr>
                <w:b/>
                <w:bCs/>
                <w:sz w:val="20"/>
                <w:szCs w:val="20"/>
                <w:lang w:eastAsia="zh-CN"/>
              </w:rPr>
            </w:pPr>
          </w:p>
          <w:p w14:paraId="198C81CB" w14:textId="77777777" w:rsidR="006B2410" w:rsidRPr="006C24A8" w:rsidRDefault="006B2410" w:rsidP="006A7CDC">
            <w:pPr>
              <w:jc w:val="both"/>
              <w:rPr>
                <w:sz w:val="18"/>
                <w:szCs w:val="18"/>
              </w:rPr>
            </w:pPr>
          </w:p>
        </w:tc>
        <w:tc>
          <w:tcPr>
            <w:tcW w:w="190" w:type="pct"/>
            <w:tcBorders>
              <w:bottom w:val="single" w:sz="4" w:space="0" w:color="auto"/>
            </w:tcBorders>
            <w:shd w:val="clear" w:color="auto" w:fill="FFFFFF" w:themeFill="background1"/>
          </w:tcPr>
          <w:p w14:paraId="3E5BFEEB" w14:textId="77777777" w:rsidR="006B2410" w:rsidRPr="006A7CDC" w:rsidRDefault="006B2410" w:rsidP="006A7CDC">
            <w:pPr>
              <w:jc w:val="both"/>
              <w:rPr>
                <w:sz w:val="20"/>
                <w:szCs w:val="20"/>
              </w:rPr>
            </w:pPr>
            <w:r w:rsidRPr="006A7CDC">
              <w:rPr>
                <w:sz w:val="20"/>
                <w:szCs w:val="20"/>
              </w:rPr>
              <w:t>X</w:t>
            </w:r>
          </w:p>
        </w:tc>
        <w:tc>
          <w:tcPr>
            <w:tcW w:w="175" w:type="pct"/>
            <w:tcBorders>
              <w:bottom w:val="single" w:sz="4" w:space="0" w:color="auto"/>
            </w:tcBorders>
            <w:shd w:val="clear" w:color="auto" w:fill="FFFFFF" w:themeFill="background1"/>
          </w:tcPr>
          <w:p w14:paraId="6A4F63B9" w14:textId="77777777" w:rsidR="006B2410" w:rsidRPr="006A7CDC" w:rsidRDefault="006B2410" w:rsidP="006A7CDC">
            <w:pPr>
              <w:jc w:val="both"/>
              <w:rPr>
                <w:sz w:val="20"/>
                <w:szCs w:val="20"/>
              </w:rPr>
            </w:pPr>
            <w:r w:rsidRPr="006A7CDC">
              <w:rPr>
                <w:sz w:val="20"/>
                <w:szCs w:val="20"/>
              </w:rPr>
              <w:t>X</w:t>
            </w:r>
          </w:p>
        </w:tc>
        <w:tc>
          <w:tcPr>
            <w:tcW w:w="177" w:type="pct"/>
            <w:tcBorders>
              <w:bottom w:val="single" w:sz="4" w:space="0" w:color="auto"/>
            </w:tcBorders>
            <w:shd w:val="clear" w:color="auto" w:fill="FFFFFF" w:themeFill="background1"/>
          </w:tcPr>
          <w:p w14:paraId="02B18EB2" w14:textId="77777777" w:rsidR="006B2410" w:rsidRPr="006A7CDC" w:rsidRDefault="006B2410" w:rsidP="006A7CDC">
            <w:pPr>
              <w:jc w:val="both"/>
              <w:rPr>
                <w:sz w:val="20"/>
                <w:szCs w:val="20"/>
              </w:rPr>
            </w:pPr>
          </w:p>
        </w:tc>
        <w:tc>
          <w:tcPr>
            <w:tcW w:w="749" w:type="pct"/>
            <w:vMerge w:val="restart"/>
            <w:shd w:val="clear" w:color="auto" w:fill="FFFFFF" w:themeFill="background1"/>
          </w:tcPr>
          <w:p w14:paraId="70BBF803" w14:textId="18341EEF" w:rsidR="006B2410" w:rsidRPr="006A7CDC" w:rsidRDefault="006B2410" w:rsidP="005C34A0">
            <w:pPr>
              <w:rPr>
                <w:sz w:val="20"/>
                <w:szCs w:val="20"/>
              </w:rPr>
            </w:pPr>
            <w:r w:rsidRPr="006A7CDC">
              <w:rPr>
                <w:sz w:val="20"/>
                <w:szCs w:val="20"/>
              </w:rPr>
              <w:t xml:space="preserve">UNDP, </w:t>
            </w:r>
            <w:r w:rsidRPr="006A7CDC">
              <w:rPr>
                <w:i/>
                <w:sz w:val="22"/>
                <w:szCs w:val="22"/>
                <w:lang w:eastAsia="fr-FR"/>
              </w:rPr>
              <w:t xml:space="preserve">Ministry of Health, Ministry of Planning, Ministry of Labour, Ministry of </w:t>
            </w:r>
            <w:r w:rsidRPr="006A7CDC">
              <w:rPr>
                <w:i/>
                <w:sz w:val="22"/>
                <w:szCs w:val="22"/>
                <w:lang w:eastAsia="fr-FR"/>
              </w:rPr>
              <w:lastRenderedPageBreak/>
              <w:t>Social Affairs, Ministry of Economy, Ministry of Finance,</w:t>
            </w:r>
            <w:r>
              <w:rPr>
                <w:i/>
                <w:sz w:val="22"/>
                <w:szCs w:val="22"/>
                <w:lang w:eastAsia="fr-FR"/>
              </w:rPr>
              <w:t xml:space="preserve"> the</w:t>
            </w:r>
            <w:r w:rsidRPr="006A7CDC">
              <w:rPr>
                <w:i/>
                <w:sz w:val="22"/>
                <w:szCs w:val="22"/>
                <w:lang w:eastAsia="fr-FR"/>
              </w:rPr>
              <w:t xml:space="preserve"> World Bank, UN Agencies (UNICEF, UN Women, WFP, IOM, UNHCR), NGOs for data collection, international experts</w:t>
            </w:r>
          </w:p>
        </w:tc>
        <w:tc>
          <w:tcPr>
            <w:tcW w:w="268" w:type="pct"/>
            <w:vMerge w:val="restart"/>
            <w:shd w:val="clear" w:color="auto" w:fill="FFFFFF" w:themeFill="background1"/>
          </w:tcPr>
          <w:p w14:paraId="76267184" w14:textId="77777777" w:rsidR="006B2410" w:rsidRPr="006A7CDC" w:rsidRDefault="006B2410" w:rsidP="006A7CDC">
            <w:pPr>
              <w:jc w:val="both"/>
              <w:rPr>
                <w:sz w:val="20"/>
                <w:szCs w:val="20"/>
              </w:rPr>
            </w:pPr>
            <w:r w:rsidRPr="006A7CDC">
              <w:rPr>
                <w:sz w:val="20"/>
                <w:szCs w:val="20"/>
              </w:rPr>
              <w:lastRenderedPageBreak/>
              <w:t>RRF</w:t>
            </w:r>
          </w:p>
        </w:tc>
        <w:tc>
          <w:tcPr>
            <w:tcW w:w="605" w:type="pct"/>
            <w:vMerge w:val="restart"/>
            <w:shd w:val="clear" w:color="auto" w:fill="FFFFFF" w:themeFill="background1"/>
          </w:tcPr>
          <w:p w14:paraId="3BDDD169" w14:textId="77777777" w:rsidR="006B2410" w:rsidRPr="006A7CDC" w:rsidRDefault="006B2410" w:rsidP="006A7CDC">
            <w:pPr>
              <w:jc w:val="both"/>
              <w:rPr>
                <w:sz w:val="20"/>
                <w:szCs w:val="20"/>
              </w:rPr>
            </w:pPr>
            <w:r w:rsidRPr="006A7CDC">
              <w:rPr>
                <w:sz w:val="20"/>
                <w:szCs w:val="20"/>
              </w:rPr>
              <w:t xml:space="preserve">Consultant/s on socio-economic impact assessment, recovery, </w:t>
            </w:r>
            <w:r w:rsidRPr="006A7CDC">
              <w:rPr>
                <w:sz w:val="20"/>
                <w:szCs w:val="20"/>
              </w:rPr>
              <w:lastRenderedPageBreak/>
              <w:t xml:space="preserve">peacebuilding contracted to develop assessment hybrid methodology  </w:t>
            </w:r>
          </w:p>
          <w:p w14:paraId="47B777BF" w14:textId="77777777" w:rsidR="006B2410" w:rsidRPr="006A7CDC" w:rsidRDefault="006B2410" w:rsidP="006A7CDC">
            <w:pPr>
              <w:jc w:val="both"/>
              <w:rPr>
                <w:sz w:val="20"/>
                <w:szCs w:val="20"/>
              </w:rPr>
            </w:pPr>
          </w:p>
          <w:p w14:paraId="6479A29E" w14:textId="77777777" w:rsidR="006B2410" w:rsidRPr="006A7CDC" w:rsidRDefault="006B2410" w:rsidP="006A7CDC">
            <w:pPr>
              <w:jc w:val="both"/>
              <w:rPr>
                <w:sz w:val="20"/>
                <w:szCs w:val="20"/>
              </w:rPr>
            </w:pPr>
            <w:r w:rsidRPr="006A7CDC">
              <w:rPr>
                <w:sz w:val="20"/>
                <w:szCs w:val="20"/>
              </w:rPr>
              <w:t>Coordination meetings, workshops and consultation meetings (national)</w:t>
            </w:r>
          </w:p>
          <w:p w14:paraId="29606523" w14:textId="77777777" w:rsidR="006B2410" w:rsidRPr="006A7CDC" w:rsidRDefault="006B2410" w:rsidP="006A7CDC">
            <w:pPr>
              <w:jc w:val="both"/>
              <w:rPr>
                <w:sz w:val="20"/>
                <w:szCs w:val="20"/>
              </w:rPr>
            </w:pPr>
          </w:p>
          <w:p w14:paraId="7214AC1B" w14:textId="77777777" w:rsidR="006B2410" w:rsidRPr="006A7CDC" w:rsidRDefault="006B2410" w:rsidP="006A7CDC">
            <w:pPr>
              <w:jc w:val="both"/>
              <w:rPr>
                <w:sz w:val="20"/>
                <w:szCs w:val="20"/>
              </w:rPr>
            </w:pPr>
            <w:r w:rsidRPr="006A7CDC">
              <w:rPr>
                <w:sz w:val="20"/>
                <w:szCs w:val="20"/>
              </w:rPr>
              <w:t>Translation and printing costs</w:t>
            </w:r>
          </w:p>
          <w:p w14:paraId="1E1B7116" w14:textId="77777777" w:rsidR="006B2410" w:rsidRPr="006A7CDC" w:rsidRDefault="006B2410" w:rsidP="006A7CDC">
            <w:pPr>
              <w:jc w:val="both"/>
              <w:rPr>
                <w:sz w:val="20"/>
                <w:szCs w:val="20"/>
              </w:rPr>
            </w:pPr>
          </w:p>
          <w:p w14:paraId="1DCE146A" w14:textId="77777777" w:rsidR="006B2410" w:rsidRPr="006A7CDC" w:rsidRDefault="006B2410" w:rsidP="006A7CDC">
            <w:pPr>
              <w:jc w:val="both"/>
              <w:rPr>
                <w:sz w:val="20"/>
                <w:szCs w:val="20"/>
              </w:rPr>
            </w:pPr>
            <w:r w:rsidRPr="006A7CDC">
              <w:rPr>
                <w:sz w:val="20"/>
                <w:szCs w:val="20"/>
              </w:rPr>
              <w:t>Equipment</w:t>
            </w:r>
          </w:p>
          <w:p w14:paraId="05F1DB90" w14:textId="77777777" w:rsidR="006B2410" w:rsidRPr="006A7CDC" w:rsidRDefault="006B2410" w:rsidP="006A7CDC">
            <w:pPr>
              <w:jc w:val="both"/>
              <w:rPr>
                <w:sz w:val="20"/>
                <w:szCs w:val="20"/>
              </w:rPr>
            </w:pPr>
          </w:p>
          <w:p w14:paraId="2A80C781" w14:textId="77777777" w:rsidR="006B2410" w:rsidRPr="006A7CDC" w:rsidRDefault="006B2410" w:rsidP="006A7CDC">
            <w:pPr>
              <w:jc w:val="both"/>
              <w:rPr>
                <w:sz w:val="20"/>
                <w:szCs w:val="20"/>
              </w:rPr>
            </w:pPr>
          </w:p>
        </w:tc>
        <w:tc>
          <w:tcPr>
            <w:tcW w:w="355" w:type="pct"/>
            <w:vMerge w:val="restart"/>
            <w:shd w:val="clear" w:color="auto" w:fill="FFFFFF" w:themeFill="background1"/>
          </w:tcPr>
          <w:p w14:paraId="29726F70" w14:textId="77777777" w:rsidR="006B2410" w:rsidRPr="006A7CDC" w:rsidRDefault="006B2410" w:rsidP="006A7CDC">
            <w:pPr>
              <w:jc w:val="both"/>
              <w:rPr>
                <w:sz w:val="20"/>
                <w:szCs w:val="20"/>
              </w:rPr>
            </w:pPr>
            <w:r w:rsidRPr="006A7CDC">
              <w:rPr>
                <w:sz w:val="20"/>
                <w:szCs w:val="20"/>
              </w:rPr>
              <w:lastRenderedPageBreak/>
              <w:t>100,000</w:t>
            </w:r>
          </w:p>
        </w:tc>
      </w:tr>
      <w:tr w:rsidR="006B2410" w:rsidRPr="006A7CDC" w14:paraId="01C846C0" w14:textId="77777777" w:rsidTr="006B2410">
        <w:trPr>
          <w:cantSplit/>
          <w:trHeight w:val="260"/>
        </w:trPr>
        <w:tc>
          <w:tcPr>
            <w:tcW w:w="1258" w:type="pct"/>
            <w:vMerge/>
          </w:tcPr>
          <w:p w14:paraId="322D542F" w14:textId="77777777" w:rsidR="006B2410" w:rsidRPr="006C24A8" w:rsidRDefault="006B2410" w:rsidP="006A7CDC">
            <w:pPr>
              <w:jc w:val="both"/>
              <w:rPr>
                <w:b/>
                <w:i/>
                <w:sz w:val="20"/>
                <w:szCs w:val="20"/>
              </w:rPr>
            </w:pPr>
          </w:p>
        </w:tc>
        <w:tc>
          <w:tcPr>
            <w:tcW w:w="1222" w:type="pct"/>
            <w:shd w:val="clear" w:color="auto" w:fill="auto"/>
          </w:tcPr>
          <w:p w14:paraId="10035057" w14:textId="77777777" w:rsidR="006B2410" w:rsidRPr="006C24A8" w:rsidRDefault="006B2410" w:rsidP="006A7CDC">
            <w:pPr>
              <w:jc w:val="both"/>
              <w:rPr>
                <w:sz w:val="20"/>
                <w:szCs w:val="20"/>
                <w:lang w:eastAsia="zh-CN"/>
              </w:rPr>
            </w:pPr>
            <w:r w:rsidRPr="006C24A8">
              <w:rPr>
                <w:b/>
                <w:sz w:val="20"/>
                <w:szCs w:val="20"/>
                <w:lang w:eastAsia="zh-CN"/>
              </w:rPr>
              <w:t>Activity 3.2</w:t>
            </w:r>
            <w:r w:rsidRPr="006C24A8">
              <w:rPr>
                <w:sz w:val="20"/>
                <w:szCs w:val="20"/>
                <w:lang w:eastAsia="zh-CN"/>
              </w:rPr>
              <w:t xml:space="preserve"> </w:t>
            </w:r>
          </w:p>
          <w:p w14:paraId="6A2DD519" w14:textId="77777777" w:rsidR="006B2410" w:rsidRPr="006C24A8" w:rsidRDefault="006B2410" w:rsidP="006A7CDC">
            <w:pPr>
              <w:jc w:val="both"/>
              <w:rPr>
                <w:sz w:val="20"/>
                <w:szCs w:val="20"/>
                <w:lang w:eastAsia="zh-CN"/>
              </w:rPr>
            </w:pPr>
            <w:r w:rsidRPr="006C24A8">
              <w:rPr>
                <w:sz w:val="20"/>
                <w:szCs w:val="20"/>
                <w:lang w:eastAsia="zh-CN"/>
              </w:rPr>
              <w:t>Conduct impact assessment-based desk review</w:t>
            </w:r>
          </w:p>
          <w:p w14:paraId="7B550276" w14:textId="77777777" w:rsidR="006B2410" w:rsidRPr="006C24A8" w:rsidRDefault="006B2410" w:rsidP="006A7CDC">
            <w:pPr>
              <w:jc w:val="both"/>
              <w:rPr>
                <w:i/>
                <w:iCs/>
                <w:sz w:val="20"/>
                <w:szCs w:val="20"/>
              </w:rPr>
            </w:pPr>
            <w:r w:rsidRPr="006C24A8">
              <w:rPr>
                <w:sz w:val="20"/>
                <w:szCs w:val="20"/>
                <w:lang w:eastAsia="zh-CN"/>
              </w:rPr>
              <w:t xml:space="preserve"> </w:t>
            </w:r>
          </w:p>
        </w:tc>
        <w:tc>
          <w:tcPr>
            <w:tcW w:w="190" w:type="pct"/>
            <w:shd w:val="clear" w:color="auto" w:fill="FFFFFF" w:themeFill="background1"/>
          </w:tcPr>
          <w:p w14:paraId="074C55AB" w14:textId="77777777" w:rsidR="006B2410" w:rsidRPr="006A7CDC" w:rsidRDefault="006B2410" w:rsidP="006A7CDC">
            <w:pPr>
              <w:jc w:val="both"/>
              <w:rPr>
                <w:sz w:val="20"/>
                <w:szCs w:val="20"/>
              </w:rPr>
            </w:pPr>
          </w:p>
        </w:tc>
        <w:tc>
          <w:tcPr>
            <w:tcW w:w="175" w:type="pct"/>
            <w:shd w:val="clear" w:color="auto" w:fill="FFFFFF" w:themeFill="background1"/>
          </w:tcPr>
          <w:p w14:paraId="167F2AB6" w14:textId="77777777" w:rsidR="006B2410" w:rsidRPr="006A7CDC" w:rsidRDefault="006B2410" w:rsidP="006A7CDC">
            <w:pPr>
              <w:jc w:val="both"/>
              <w:rPr>
                <w:sz w:val="20"/>
                <w:szCs w:val="20"/>
              </w:rPr>
            </w:pPr>
            <w:r w:rsidRPr="006A7CDC">
              <w:rPr>
                <w:sz w:val="20"/>
                <w:szCs w:val="20"/>
              </w:rPr>
              <w:t>X</w:t>
            </w:r>
          </w:p>
        </w:tc>
        <w:tc>
          <w:tcPr>
            <w:tcW w:w="177" w:type="pct"/>
            <w:shd w:val="clear" w:color="auto" w:fill="FFFFFF" w:themeFill="background1"/>
          </w:tcPr>
          <w:p w14:paraId="27963454" w14:textId="77777777" w:rsidR="006B2410" w:rsidRPr="006A7CDC" w:rsidRDefault="006B2410" w:rsidP="006A7CDC">
            <w:pPr>
              <w:jc w:val="both"/>
              <w:rPr>
                <w:sz w:val="20"/>
                <w:szCs w:val="20"/>
              </w:rPr>
            </w:pPr>
            <w:r w:rsidRPr="006A7CDC">
              <w:rPr>
                <w:sz w:val="20"/>
                <w:szCs w:val="20"/>
              </w:rPr>
              <w:t>X</w:t>
            </w:r>
          </w:p>
        </w:tc>
        <w:tc>
          <w:tcPr>
            <w:tcW w:w="749" w:type="pct"/>
            <w:vMerge/>
          </w:tcPr>
          <w:p w14:paraId="4862346F" w14:textId="77777777" w:rsidR="006B2410" w:rsidRPr="006A7CDC" w:rsidRDefault="006B2410" w:rsidP="006A7CDC">
            <w:pPr>
              <w:jc w:val="both"/>
              <w:rPr>
                <w:sz w:val="20"/>
                <w:szCs w:val="20"/>
              </w:rPr>
            </w:pPr>
          </w:p>
        </w:tc>
        <w:tc>
          <w:tcPr>
            <w:tcW w:w="268" w:type="pct"/>
            <w:vMerge/>
          </w:tcPr>
          <w:p w14:paraId="7A826FD2" w14:textId="77777777" w:rsidR="006B2410" w:rsidRPr="006A7CDC" w:rsidRDefault="006B2410" w:rsidP="006A7CDC">
            <w:pPr>
              <w:jc w:val="both"/>
              <w:rPr>
                <w:sz w:val="20"/>
                <w:szCs w:val="20"/>
              </w:rPr>
            </w:pPr>
          </w:p>
        </w:tc>
        <w:tc>
          <w:tcPr>
            <w:tcW w:w="605" w:type="pct"/>
            <w:vMerge/>
          </w:tcPr>
          <w:p w14:paraId="7908C1E6" w14:textId="77777777" w:rsidR="006B2410" w:rsidRPr="006A7CDC" w:rsidRDefault="006B2410" w:rsidP="006A7CDC">
            <w:pPr>
              <w:jc w:val="both"/>
              <w:rPr>
                <w:sz w:val="20"/>
                <w:szCs w:val="20"/>
              </w:rPr>
            </w:pPr>
          </w:p>
        </w:tc>
        <w:tc>
          <w:tcPr>
            <w:tcW w:w="355" w:type="pct"/>
            <w:vMerge/>
          </w:tcPr>
          <w:p w14:paraId="60038313" w14:textId="77777777" w:rsidR="006B2410" w:rsidRPr="006A7CDC" w:rsidRDefault="006B2410" w:rsidP="006A7CDC">
            <w:pPr>
              <w:jc w:val="both"/>
              <w:rPr>
                <w:b/>
                <w:sz w:val="20"/>
                <w:szCs w:val="20"/>
              </w:rPr>
            </w:pPr>
          </w:p>
        </w:tc>
      </w:tr>
      <w:tr w:rsidR="006B2410" w:rsidRPr="006A7CDC" w14:paraId="41760FF4" w14:textId="77777777" w:rsidTr="006B2410">
        <w:trPr>
          <w:cantSplit/>
          <w:trHeight w:val="260"/>
        </w:trPr>
        <w:tc>
          <w:tcPr>
            <w:tcW w:w="1258" w:type="pct"/>
            <w:vMerge/>
          </w:tcPr>
          <w:p w14:paraId="7B4ED4DD" w14:textId="77777777" w:rsidR="006B2410" w:rsidRPr="006C24A8" w:rsidRDefault="006B2410" w:rsidP="006A7CDC">
            <w:pPr>
              <w:jc w:val="both"/>
              <w:rPr>
                <w:b/>
                <w:i/>
                <w:sz w:val="20"/>
                <w:szCs w:val="20"/>
              </w:rPr>
            </w:pPr>
          </w:p>
        </w:tc>
        <w:tc>
          <w:tcPr>
            <w:tcW w:w="1222" w:type="pct"/>
            <w:shd w:val="clear" w:color="auto" w:fill="auto"/>
          </w:tcPr>
          <w:p w14:paraId="1A492D6F" w14:textId="77777777" w:rsidR="006B2410" w:rsidRPr="006C24A8" w:rsidRDefault="006B2410" w:rsidP="006A7CDC">
            <w:pPr>
              <w:jc w:val="both"/>
              <w:rPr>
                <w:sz w:val="20"/>
                <w:szCs w:val="20"/>
                <w:lang w:eastAsia="zh-CN"/>
              </w:rPr>
            </w:pPr>
            <w:r w:rsidRPr="006C24A8">
              <w:rPr>
                <w:b/>
                <w:sz w:val="20"/>
                <w:szCs w:val="20"/>
                <w:lang w:eastAsia="zh-CN"/>
              </w:rPr>
              <w:t>Activity 3.3</w:t>
            </w:r>
            <w:r w:rsidRPr="006C24A8">
              <w:rPr>
                <w:sz w:val="20"/>
                <w:szCs w:val="20"/>
                <w:lang w:eastAsia="zh-CN"/>
              </w:rPr>
              <w:t xml:space="preserve"> </w:t>
            </w:r>
          </w:p>
          <w:p w14:paraId="0460AB35" w14:textId="77777777" w:rsidR="006B2410" w:rsidRPr="006C24A8" w:rsidRDefault="006B2410" w:rsidP="006A7CDC">
            <w:pPr>
              <w:jc w:val="both"/>
              <w:rPr>
                <w:bCs/>
                <w:sz w:val="20"/>
                <w:szCs w:val="20"/>
                <w:lang w:eastAsia="zh-CN"/>
              </w:rPr>
            </w:pPr>
            <w:r w:rsidRPr="006C24A8">
              <w:rPr>
                <w:sz w:val="20"/>
                <w:szCs w:val="20"/>
                <w:lang w:eastAsia="zh-CN"/>
              </w:rPr>
              <w:t>Develop and disseminate the assessment report including COVID recovery strategy</w:t>
            </w:r>
            <w:r w:rsidRPr="006C24A8">
              <w:rPr>
                <w:bCs/>
                <w:sz w:val="20"/>
                <w:szCs w:val="20"/>
                <w:lang w:eastAsia="zh-CN"/>
              </w:rPr>
              <w:t xml:space="preserve"> </w:t>
            </w:r>
          </w:p>
          <w:p w14:paraId="0B94C65B" w14:textId="77777777" w:rsidR="006B2410" w:rsidRPr="006C24A8" w:rsidRDefault="006B2410" w:rsidP="006A7CDC">
            <w:pPr>
              <w:jc w:val="both"/>
              <w:rPr>
                <w:i/>
                <w:iCs/>
                <w:sz w:val="20"/>
                <w:szCs w:val="20"/>
              </w:rPr>
            </w:pPr>
          </w:p>
        </w:tc>
        <w:tc>
          <w:tcPr>
            <w:tcW w:w="190" w:type="pct"/>
            <w:shd w:val="clear" w:color="auto" w:fill="FFFFFF" w:themeFill="background1"/>
          </w:tcPr>
          <w:p w14:paraId="658A4A14" w14:textId="77777777" w:rsidR="006B2410" w:rsidRPr="006A7CDC" w:rsidRDefault="006B2410" w:rsidP="006A7CDC">
            <w:pPr>
              <w:jc w:val="both"/>
              <w:rPr>
                <w:sz w:val="20"/>
                <w:szCs w:val="20"/>
              </w:rPr>
            </w:pPr>
          </w:p>
        </w:tc>
        <w:tc>
          <w:tcPr>
            <w:tcW w:w="175" w:type="pct"/>
            <w:shd w:val="clear" w:color="auto" w:fill="FFFFFF" w:themeFill="background1"/>
          </w:tcPr>
          <w:p w14:paraId="0548C3E0" w14:textId="77777777" w:rsidR="006B2410" w:rsidRPr="006A7CDC" w:rsidRDefault="006B2410" w:rsidP="006A7CDC">
            <w:pPr>
              <w:jc w:val="both"/>
              <w:rPr>
                <w:sz w:val="20"/>
                <w:szCs w:val="20"/>
              </w:rPr>
            </w:pPr>
            <w:r w:rsidRPr="006A7CDC">
              <w:rPr>
                <w:sz w:val="20"/>
                <w:szCs w:val="20"/>
              </w:rPr>
              <w:t>X</w:t>
            </w:r>
          </w:p>
        </w:tc>
        <w:tc>
          <w:tcPr>
            <w:tcW w:w="177" w:type="pct"/>
            <w:shd w:val="clear" w:color="auto" w:fill="FFFFFF" w:themeFill="background1"/>
          </w:tcPr>
          <w:p w14:paraId="538F1D59" w14:textId="77777777" w:rsidR="006B2410" w:rsidRPr="006A7CDC" w:rsidRDefault="006B2410" w:rsidP="006A7CDC">
            <w:pPr>
              <w:jc w:val="both"/>
              <w:rPr>
                <w:sz w:val="20"/>
                <w:szCs w:val="20"/>
              </w:rPr>
            </w:pPr>
            <w:r w:rsidRPr="006A7CDC">
              <w:rPr>
                <w:sz w:val="20"/>
                <w:szCs w:val="20"/>
              </w:rPr>
              <w:t>X</w:t>
            </w:r>
          </w:p>
        </w:tc>
        <w:tc>
          <w:tcPr>
            <w:tcW w:w="749" w:type="pct"/>
            <w:vMerge/>
          </w:tcPr>
          <w:p w14:paraId="3465C948" w14:textId="77777777" w:rsidR="006B2410" w:rsidRPr="006A7CDC" w:rsidRDefault="006B2410" w:rsidP="006A7CDC">
            <w:pPr>
              <w:jc w:val="both"/>
              <w:rPr>
                <w:sz w:val="20"/>
                <w:szCs w:val="20"/>
              </w:rPr>
            </w:pPr>
          </w:p>
        </w:tc>
        <w:tc>
          <w:tcPr>
            <w:tcW w:w="268" w:type="pct"/>
            <w:vMerge/>
          </w:tcPr>
          <w:p w14:paraId="3FE7A2DA" w14:textId="77777777" w:rsidR="006B2410" w:rsidRPr="006A7CDC" w:rsidRDefault="006B2410" w:rsidP="006A7CDC">
            <w:pPr>
              <w:jc w:val="both"/>
              <w:rPr>
                <w:sz w:val="20"/>
                <w:szCs w:val="20"/>
              </w:rPr>
            </w:pPr>
          </w:p>
        </w:tc>
        <w:tc>
          <w:tcPr>
            <w:tcW w:w="605" w:type="pct"/>
            <w:vMerge/>
          </w:tcPr>
          <w:p w14:paraId="345F5AEA" w14:textId="77777777" w:rsidR="006B2410" w:rsidRPr="006A7CDC" w:rsidRDefault="006B2410" w:rsidP="006A7CDC">
            <w:pPr>
              <w:jc w:val="both"/>
              <w:rPr>
                <w:sz w:val="20"/>
                <w:szCs w:val="20"/>
              </w:rPr>
            </w:pPr>
          </w:p>
        </w:tc>
        <w:tc>
          <w:tcPr>
            <w:tcW w:w="355" w:type="pct"/>
            <w:vMerge/>
          </w:tcPr>
          <w:p w14:paraId="492F950E" w14:textId="77777777" w:rsidR="006B2410" w:rsidRPr="006A7CDC" w:rsidRDefault="006B2410" w:rsidP="006A7CDC">
            <w:pPr>
              <w:jc w:val="both"/>
              <w:rPr>
                <w:b/>
                <w:sz w:val="20"/>
                <w:szCs w:val="20"/>
              </w:rPr>
            </w:pPr>
          </w:p>
        </w:tc>
      </w:tr>
      <w:tr w:rsidR="006B2410" w:rsidRPr="006A7CDC" w14:paraId="6D1200B7" w14:textId="77777777" w:rsidTr="006B2410">
        <w:trPr>
          <w:cantSplit/>
          <w:trHeight w:val="1439"/>
        </w:trPr>
        <w:tc>
          <w:tcPr>
            <w:tcW w:w="1258" w:type="pct"/>
            <w:vMerge/>
          </w:tcPr>
          <w:p w14:paraId="694EE39F" w14:textId="77777777" w:rsidR="006B2410" w:rsidRPr="006C24A8" w:rsidRDefault="006B2410" w:rsidP="006A7CDC">
            <w:pPr>
              <w:jc w:val="both"/>
              <w:rPr>
                <w:b/>
                <w:i/>
                <w:sz w:val="20"/>
                <w:szCs w:val="20"/>
              </w:rPr>
            </w:pPr>
          </w:p>
        </w:tc>
        <w:tc>
          <w:tcPr>
            <w:tcW w:w="1222" w:type="pct"/>
            <w:tcBorders>
              <w:bottom w:val="single" w:sz="4" w:space="0" w:color="auto"/>
            </w:tcBorders>
            <w:shd w:val="clear" w:color="auto" w:fill="auto"/>
          </w:tcPr>
          <w:p w14:paraId="127F3EC1" w14:textId="77777777" w:rsidR="006B2410" w:rsidRPr="006C24A8" w:rsidRDefault="006B2410" w:rsidP="006A7CDC">
            <w:pPr>
              <w:jc w:val="both"/>
              <w:rPr>
                <w:i/>
                <w:iCs/>
                <w:sz w:val="20"/>
                <w:szCs w:val="20"/>
              </w:rPr>
            </w:pPr>
            <w:r w:rsidRPr="006C24A8">
              <w:rPr>
                <w:b/>
                <w:bCs/>
                <w:sz w:val="20"/>
                <w:szCs w:val="20"/>
                <w:lang w:eastAsia="zh-CN"/>
              </w:rPr>
              <w:t>Activity 3:4:</w:t>
            </w:r>
            <w:r w:rsidRPr="006C24A8">
              <w:rPr>
                <w:sz w:val="20"/>
                <w:szCs w:val="20"/>
                <w:lang w:eastAsia="zh-CN"/>
              </w:rPr>
              <w:t xml:space="preserve"> Stakeholder consultations utilizing UNDP’s integrator role – bringing together broad group of stakeholders beyond the health sector for innovative solutions </w:t>
            </w:r>
          </w:p>
        </w:tc>
        <w:tc>
          <w:tcPr>
            <w:tcW w:w="190" w:type="pct"/>
            <w:tcBorders>
              <w:bottom w:val="single" w:sz="4" w:space="0" w:color="auto"/>
            </w:tcBorders>
            <w:shd w:val="clear" w:color="auto" w:fill="FFFFFF" w:themeFill="background1"/>
          </w:tcPr>
          <w:p w14:paraId="36972C7C" w14:textId="77777777" w:rsidR="006B2410" w:rsidRPr="006A7CDC" w:rsidRDefault="006B2410" w:rsidP="006A7CDC">
            <w:pPr>
              <w:jc w:val="both"/>
              <w:rPr>
                <w:sz w:val="20"/>
                <w:szCs w:val="20"/>
              </w:rPr>
            </w:pPr>
          </w:p>
        </w:tc>
        <w:tc>
          <w:tcPr>
            <w:tcW w:w="175" w:type="pct"/>
            <w:tcBorders>
              <w:bottom w:val="single" w:sz="4" w:space="0" w:color="auto"/>
            </w:tcBorders>
            <w:shd w:val="clear" w:color="auto" w:fill="FFFFFF" w:themeFill="background1"/>
          </w:tcPr>
          <w:p w14:paraId="609257A1" w14:textId="77777777" w:rsidR="006B2410" w:rsidRPr="006A7CDC" w:rsidRDefault="006B2410" w:rsidP="006A7CDC">
            <w:pPr>
              <w:jc w:val="both"/>
              <w:rPr>
                <w:sz w:val="20"/>
                <w:szCs w:val="20"/>
              </w:rPr>
            </w:pPr>
          </w:p>
        </w:tc>
        <w:tc>
          <w:tcPr>
            <w:tcW w:w="177" w:type="pct"/>
            <w:tcBorders>
              <w:bottom w:val="single" w:sz="4" w:space="0" w:color="auto"/>
            </w:tcBorders>
            <w:shd w:val="clear" w:color="auto" w:fill="FFFFFF" w:themeFill="background1"/>
          </w:tcPr>
          <w:p w14:paraId="6938995F" w14:textId="77777777" w:rsidR="006B2410" w:rsidRPr="006A7CDC" w:rsidRDefault="006B2410" w:rsidP="006A7CDC">
            <w:pPr>
              <w:jc w:val="both"/>
              <w:rPr>
                <w:sz w:val="20"/>
                <w:szCs w:val="20"/>
              </w:rPr>
            </w:pPr>
            <w:r w:rsidRPr="006A7CDC">
              <w:rPr>
                <w:sz w:val="20"/>
                <w:szCs w:val="20"/>
              </w:rPr>
              <w:t>X</w:t>
            </w:r>
          </w:p>
        </w:tc>
        <w:tc>
          <w:tcPr>
            <w:tcW w:w="749" w:type="pct"/>
            <w:vMerge/>
          </w:tcPr>
          <w:p w14:paraId="3B60C234" w14:textId="77777777" w:rsidR="006B2410" w:rsidRPr="006A7CDC" w:rsidRDefault="006B2410" w:rsidP="006A7CDC">
            <w:pPr>
              <w:jc w:val="both"/>
              <w:rPr>
                <w:sz w:val="20"/>
                <w:szCs w:val="20"/>
              </w:rPr>
            </w:pPr>
          </w:p>
        </w:tc>
        <w:tc>
          <w:tcPr>
            <w:tcW w:w="268" w:type="pct"/>
            <w:vMerge/>
          </w:tcPr>
          <w:p w14:paraId="0A0725ED" w14:textId="77777777" w:rsidR="006B2410" w:rsidRPr="006A7CDC" w:rsidRDefault="006B2410" w:rsidP="006A7CDC">
            <w:pPr>
              <w:jc w:val="both"/>
              <w:rPr>
                <w:sz w:val="20"/>
                <w:szCs w:val="20"/>
              </w:rPr>
            </w:pPr>
          </w:p>
        </w:tc>
        <w:tc>
          <w:tcPr>
            <w:tcW w:w="605" w:type="pct"/>
            <w:vMerge/>
          </w:tcPr>
          <w:p w14:paraId="4F46B131" w14:textId="77777777" w:rsidR="006B2410" w:rsidRPr="006A7CDC" w:rsidRDefault="006B2410" w:rsidP="006A7CDC">
            <w:pPr>
              <w:jc w:val="both"/>
              <w:rPr>
                <w:sz w:val="20"/>
                <w:szCs w:val="20"/>
              </w:rPr>
            </w:pPr>
          </w:p>
        </w:tc>
        <w:tc>
          <w:tcPr>
            <w:tcW w:w="355" w:type="pct"/>
            <w:vMerge/>
          </w:tcPr>
          <w:p w14:paraId="66087233" w14:textId="77777777" w:rsidR="006B2410" w:rsidRPr="006A7CDC" w:rsidRDefault="006B2410" w:rsidP="006A7CDC">
            <w:pPr>
              <w:jc w:val="both"/>
              <w:rPr>
                <w:b/>
                <w:sz w:val="20"/>
                <w:szCs w:val="20"/>
              </w:rPr>
            </w:pPr>
          </w:p>
        </w:tc>
      </w:tr>
      <w:tr w:rsidR="006B2410" w:rsidRPr="006A7CDC" w14:paraId="074BCB87" w14:textId="77777777" w:rsidTr="006B2410">
        <w:trPr>
          <w:cantSplit/>
          <w:trHeight w:val="260"/>
        </w:trPr>
        <w:tc>
          <w:tcPr>
            <w:tcW w:w="1258" w:type="pct"/>
            <w:vMerge/>
            <w:tcBorders>
              <w:bottom w:val="single" w:sz="4" w:space="0" w:color="auto"/>
            </w:tcBorders>
            <w:shd w:val="clear" w:color="auto" w:fill="auto"/>
          </w:tcPr>
          <w:p w14:paraId="66B265CA" w14:textId="77777777" w:rsidR="006B2410" w:rsidRPr="006C24A8" w:rsidRDefault="006B2410" w:rsidP="006A7CDC">
            <w:pPr>
              <w:jc w:val="both"/>
              <w:rPr>
                <w:b/>
                <w:i/>
                <w:sz w:val="20"/>
                <w:szCs w:val="20"/>
              </w:rPr>
            </w:pPr>
            <w:commentRangeStart w:id="11"/>
            <w:commentRangeStart w:id="12"/>
          </w:p>
        </w:tc>
        <w:tc>
          <w:tcPr>
            <w:tcW w:w="1222" w:type="pct"/>
            <w:tcBorders>
              <w:bottom w:val="single" w:sz="4" w:space="0" w:color="auto"/>
            </w:tcBorders>
            <w:shd w:val="clear" w:color="auto" w:fill="auto"/>
          </w:tcPr>
          <w:p w14:paraId="64F7D338" w14:textId="28BD2FE2" w:rsidR="006B2410" w:rsidRPr="00F926B1" w:rsidRDefault="006B2410" w:rsidP="6FB26674">
            <w:pPr>
              <w:spacing w:after="120"/>
              <w:jc w:val="both"/>
              <w:rPr>
                <w:b/>
                <w:bCs/>
                <w:sz w:val="22"/>
                <w:szCs w:val="22"/>
                <w:lang w:eastAsia="zh-CN"/>
              </w:rPr>
            </w:pPr>
            <w:r w:rsidRPr="00F926B1">
              <w:rPr>
                <w:b/>
                <w:bCs/>
                <w:sz w:val="20"/>
                <w:szCs w:val="20"/>
                <w:lang w:eastAsia="zh-CN"/>
              </w:rPr>
              <w:t>Activity 3.5:</w:t>
            </w:r>
            <w:r w:rsidRPr="00F926B1">
              <w:rPr>
                <w:sz w:val="20"/>
                <w:szCs w:val="20"/>
                <w:lang w:eastAsia="zh-CN"/>
              </w:rPr>
              <w:t xml:space="preserve"> Based on data analysis, support the design a recovery strategy and policies and recovery projects at the local level targeting the most vulnerable and with gender prism – in close partnership with the national and local government and the focus on building back better</w:t>
            </w:r>
            <w:r w:rsidRPr="00F926B1">
              <w:rPr>
                <w:b/>
                <w:bCs/>
                <w:sz w:val="22"/>
                <w:szCs w:val="22"/>
                <w:lang w:eastAsia="zh-CN"/>
              </w:rPr>
              <w:t xml:space="preserve">. </w:t>
            </w:r>
            <w:commentRangeEnd w:id="11"/>
            <w:r w:rsidRPr="00F926B1">
              <w:rPr>
                <w:rStyle w:val="CommentReference"/>
              </w:rPr>
              <w:commentReference w:id="11"/>
            </w:r>
            <w:commentRangeEnd w:id="12"/>
            <w:r w:rsidRPr="00F926B1">
              <w:rPr>
                <w:rStyle w:val="CommentReference"/>
              </w:rPr>
              <w:commentReference w:id="12"/>
            </w:r>
          </w:p>
          <w:p w14:paraId="126EE735" w14:textId="77777777" w:rsidR="006B2410" w:rsidRPr="00F926B1" w:rsidRDefault="006B2410" w:rsidP="006A7CDC">
            <w:pPr>
              <w:jc w:val="both"/>
              <w:rPr>
                <w:i/>
                <w:iCs/>
                <w:sz w:val="20"/>
                <w:szCs w:val="20"/>
              </w:rPr>
            </w:pPr>
          </w:p>
        </w:tc>
        <w:tc>
          <w:tcPr>
            <w:tcW w:w="190" w:type="pct"/>
            <w:tcBorders>
              <w:bottom w:val="single" w:sz="4" w:space="0" w:color="auto"/>
            </w:tcBorders>
            <w:shd w:val="clear" w:color="auto" w:fill="FFFFFF" w:themeFill="background1"/>
          </w:tcPr>
          <w:p w14:paraId="43A8AA41" w14:textId="77777777" w:rsidR="006B2410" w:rsidRPr="006A7CDC" w:rsidRDefault="006B2410" w:rsidP="006A7CDC">
            <w:pPr>
              <w:jc w:val="both"/>
              <w:rPr>
                <w:sz w:val="20"/>
                <w:szCs w:val="20"/>
              </w:rPr>
            </w:pPr>
          </w:p>
        </w:tc>
        <w:tc>
          <w:tcPr>
            <w:tcW w:w="175" w:type="pct"/>
            <w:tcBorders>
              <w:bottom w:val="single" w:sz="4" w:space="0" w:color="auto"/>
            </w:tcBorders>
            <w:shd w:val="clear" w:color="auto" w:fill="FFFFFF" w:themeFill="background1"/>
          </w:tcPr>
          <w:p w14:paraId="38985CD3" w14:textId="77777777" w:rsidR="006B2410" w:rsidRPr="006A7CDC" w:rsidRDefault="006B2410" w:rsidP="006A7CDC">
            <w:pPr>
              <w:jc w:val="both"/>
              <w:rPr>
                <w:sz w:val="20"/>
                <w:szCs w:val="20"/>
              </w:rPr>
            </w:pPr>
          </w:p>
        </w:tc>
        <w:tc>
          <w:tcPr>
            <w:tcW w:w="177" w:type="pct"/>
            <w:tcBorders>
              <w:bottom w:val="single" w:sz="4" w:space="0" w:color="auto"/>
            </w:tcBorders>
            <w:shd w:val="clear" w:color="auto" w:fill="FFFFFF" w:themeFill="background1"/>
          </w:tcPr>
          <w:p w14:paraId="482DE2FE" w14:textId="77777777" w:rsidR="006B2410" w:rsidRPr="006A7CDC" w:rsidRDefault="006B2410" w:rsidP="006A7CDC">
            <w:pPr>
              <w:jc w:val="both"/>
              <w:rPr>
                <w:sz w:val="20"/>
                <w:szCs w:val="20"/>
              </w:rPr>
            </w:pPr>
            <w:r w:rsidRPr="006A7CDC">
              <w:rPr>
                <w:sz w:val="20"/>
                <w:szCs w:val="20"/>
              </w:rPr>
              <w:t>X</w:t>
            </w:r>
          </w:p>
        </w:tc>
        <w:tc>
          <w:tcPr>
            <w:tcW w:w="749" w:type="pct"/>
            <w:vMerge/>
          </w:tcPr>
          <w:p w14:paraId="236A0A09" w14:textId="77777777" w:rsidR="006B2410" w:rsidRPr="006A7CDC" w:rsidRDefault="006B2410" w:rsidP="006A7CDC">
            <w:pPr>
              <w:jc w:val="both"/>
              <w:rPr>
                <w:sz w:val="20"/>
                <w:szCs w:val="20"/>
              </w:rPr>
            </w:pPr>
          </w:p>
        </w:tc>
        <w:tc>
          <w:tcPr>
            <w:tcW w:w="268" w:type="pct"/>
            <w:vMerge/>
          </w:tcPr>
          <w:p w14:paraId="360FB3FE" w14:textId="77777777" w:rsidR="006B2410" w:rsidRPr="006A7CDC" w:rsidRDefault="006B2410" w:rsidP="006A7CDC">
            <w:pPr>
              <w:jc w:val="both"/>
              <w:rPr>
                <w:sz w:val="20"/>
                <w:szCs w:val="20"/>
              </w:rPr>
            </w:pPr>
          </w:p>
        </w:tc>
        <w:tc>
          <w:tcPr>
            <w:tcW w:w="605" w:type="pct"/>
            <w:vMerge/>
          </w:tcPr>
          <w:p w14:paraId="1378DE02" w14:textId="77777777" w:rsidR="006B2410" w:rsidRPr="006A7CDC" w:rsidRDefault="006B2410" w:rsidP="006A7CDC">
            <w:pPr>
              <w:jc w:val="both"/>
              <w:rPr>
                <w:sz w:val="20"/>
                <w:szCs w:val="20"/>
              </w:rPr>
            </w:pPr>
          </w:p>
        </w:tc>
        <w:tc>
          <w:tcPr>
            <w:tcW w:w="355" w:type="pct"/>
            <w:vMerge/>
          </w:tcPr>
          <w:p w14:paraId="1EE9B830" w14:textId="77777777" w:rsidR="006B2410" w:rsidRPr="006A7CDC" w:rsidRDefault="006B2410" w:rsidP="006A7CDC">
            <w:pPr>
              <w:jc w:val="both"/>
              <w:rPr>
                <w:b/>
                <w:sz w:val="20"/>
                <w:szCs w:val="20"/>
              </w:rPr>
            </w:pPr>
          </w:p>
        </w:tc>
      </w:tr>
      <w:tr w:rsidR="001F54B9" w:rsidRPr="006A7CDC" w14:paraId="25F5206E" w14:textId="77777777" w:rsidTr="006B2410">
        <w:trPr>
          <w:cantSplit/>
          <w:trHeight w:val="260"/>
        </w:trPr>
        <w:tc>
          <w:tcPr>
            <w:tcW w:w="1258" w:type="pct"/>
            <w:shd w:val="clear" w:color="auto" w:fill="BFBFBF" w:themeFill="background1" w:themeFillShade="BF"/>
          </w:tcPr>
          <w:p w14:paraId="01CBB577" w14:textId="77777777" w:rsidR="00921566" w:rsidRPr="006A7CDC" w:rsidRDefault="00921566" w:rsidP="006A7CDC">
            <w:pPr>
              <w:jc w:val="both"/>
              <w:rPr>
                <w:b/>
                <w:i/>
                <w:sz w:val="20"/>
                <w:szCs w:val="20"/>
              </w:rPr>
            </w:pPr>
            <w:r w:rsidRPr="006A7CDC">
              <w:rPr>
                <w:b/>
                <w:i/>
                <w:sz w:val="20"/>
                <w:szCs w:val="20"/>
              </w:rPr>
              <w:t>Output 3 subtotal</w:t>
            </w:r>
          </w:p>
        </w:tc>
        <w:tc>
          <w:tcPr>
            <w:tcW w:w="1222" w:type="pct"/>
            <w:shd w:val="clear" w:color="auto" w:fill="BFBFBF" w:themeFill="background1" w:themeFillShade="BF"/>
          </w:tcPr>
          <w:p w14:paraId="7EFD4B47" w14:textId="77777777" w:rsidR="00921566" w:rsidRPr="006A7CDC" w:rsidRDefault="00921566" w:rsidP="006A7CDC">
            <w:pPr>
              <w:jc w:val="both"/>
              <w:rPr>
                <w:i/>
                <w:iCs/>
                <w:sz w:val="20"/>
                <w:szCs w:val="20"/>
              </w:rPr>
            </w:pPr>
          </w:p>
        </w:tc>
        <w:tc>
          <w:tcPr>
            <w:tcW w:w="190" w:type="pct"/>
            <w:shd w:val="clear" w:color="auto" w:fill="BFBFBF" w:themeFill="background1" w:themeFillShade="BF"/>
          </w:tcPr>
          <w:p w14:paraId="563DD3B6" w14:textId="77777777" w:rsidR="00921566" w:rsidRPr="006A7CDC" w:rsidRDefault="00921566" w:rsidP="006A7CDC">
            <w:pPr>
              <w:jc w:val="both"/>
              <w:rPr>
                <w:sz w:val="20"/>
                <w:szCs w:val="20"/>
              </w:rPr>
            </w:pPr>
          </w:p>
        </w:tc>
        <w:tc>
          <w:tcPr>
            <w:tcW w:w="175" w:type="pct"/>
            <w:shd w:val="clear" w:color="auto" w:fill="BFBFBF" w:themeFill="background1" w:themeFillShade="BF"/>
          </w:tcPr>
          <w:p w14:paraId="1CEFD3B2" w14:textId="77777777" w:rsidR="00921566" w:rsidRPr="006A7CDC" w:rsidRDefault="00921566" w:rsidP="006A7CDC">
            <w:pPr>
              <w:jc w:val="both"/>
              <w:rPr>
                <w:sz w:val="20"/>
                <w:szCs w:val="20"/>
              </w:rPr>
            </w:pPr>
          </w:p>
        </w:tc>
        <w:tc>
          <w:tcPr>
            <w:tcW w:w="177" w:type="pct"/>
            <w:shd w:val="clear" w:color="auto" w:fill="BFBFBF" w:themeFill="background1" w:themeFillShade="BF"/>
          </w:tcPr>
          <w:p w14:paraId="379920B1" w14:textId="77777777" w:rsidR="00921566" w:rsidRPr="006A7CDC" w:rsidRDefault="00921566" w:rsidP="006A7CDC">
            <w:pPr>
              <w:jc w:val="both"/>
              <w:rPr>
                <w:sz w:val="20"/>
                <w:szCs w:val="20"/>
              </w:rPr>
            </w:pPr>
          </w:p>
        </w:tc>
        <w:tc>
          <w:tcPr>
            <w:tcW w:w="749" w:type="pct"/>
            <w:shd w:val="clear" w:color="auto" w:fill="BFBFBF" w:themeFill="background1" w:themeFillShade="BF"/>
          </w:tcPr>
          <w:p w14:paraId="0887F5A7" w14:textId="77777777" w:rsidR="00921566" w:rsidRPr="006A7CDC" w:rsidRDefault="00921566" w:rsidP="006A7CDC">
            <w:pPr>
              <w:jc w:val="both"/>
              <w:rPr>
                <w:sz w:val="20"/>
                <w:szCs w:val="20"/>
              </w:rPr>
            </w:pPr>
          </w:p>
        </w:tc>
        <w:tc>
          <w:tcPr>
            <w:tcW w:w="268" w:type="pct"/>
            <w:shd w:val="clear" w:color="auto" w:fill="BFBFBF" w:themeFill="background1" w:themeFillShade="BF"/>
          </w:tcPr>
          <w:p w14:paraId="62E7C8DB" w14:textId="77777777" w:rsidR="00921566" w:rsidRPr="006A7CDC" w:rsidRDefault="00921566" w:rsidP="006A7CDC">
            <w:pPr>
              <w:jc w:val="both"/>
              <w:rPr>
                <w:sz w:val="20"/>
                <w:szCs w:val="20"/>
              </w:rPr>
            </w:pPr>
          </w:p>
        </w:tc>
        <w:tc>
          <w:tcPr>
            <w:tcW w:w="605" w:type="pct"/>
            <w:shd w:val="clear" w:color="auto" w:fill="BFBFBF" w:themeFill="background1" w:themeFillShade="BF"/>
          </w:tcPr>
          <w:p w14:paraId="71115472" w14:textId="77777777" w:rsidR="00921566" w:rsidRPr="006A7CDC" w:rsidRDefault="00921566" w:rsidP="006A7CDC">
            <w:pPr>
              <w:jc w:val="both"/>
              <w:rPr>
                <w:sz w:val="20"/>
                <w:szCs w:val="20"/>
              </w:rPr>
            </w:pPr>
          </w:p>
        </w:tc>
        <w:tc>
          <w:tcPr>
            <w:tcW w:w="355" w:type="pct"/>
            <w:shd w:val="clear" w:color="auto" w:fill="BFBFBF" w:themeFill="background1" w:themeFillShade="BF"/>
          </w:tcPr>
          <w:p w14:paraId="40E17FEB" w14:textId="77777777" w:rsidR="00921566" w:rsidRPr="006A7CDC" w:rsidRDefault="00921566" w:rsidP="006A7CDC">
            <w:pPr>
              <w:jc w:val="both"/>
              <w:rPr>
                <w:b/>
                <w:sz w:val="20"/>
                <w:szCs w:val="20"/>
              </w:rPr>
            </w:pPr>
            <w:r w:rsidRPr="006A7CDC">
              <w:rPr>
                <w:b/>
                <w:sz w:val="20"/>
                <w:szCs w:val="20"/>
              </w:rPr>
              <w:t>100,000</w:t>
            </w:r>
          </w:p>
        </w:tc>
      </w:tr>
      <w:tr w:rsidR="001F54B9" w:rsidRPr="006A7CDC" w14:paraId="5BE40D3C" w14:textId="77777777" w:rsidTr="006B2410">
        <w:trPr>
          <w:cantSplit/>
          <w:trHeight w:val="260"/>
        </w:trPr>
        <w:tc>
          <w:tcPr>
            <w:tcW w:w="1258" w:type="pct"/>
            <w:shd w:val="clear" w:color="auto" w:fill="FFF2CC" w:themeFill="accent4" w:themeFillTint="33"/>
          </w:tcPr>
          <w:p w14:paraId="47E9EF6E" w14:textId="77777777" w:rsidR="00E270CF" w:rsidRPr="006A7CDC" w:rsidRDefault="00E270CF" w:rsidP="006A7CDC">
            <w:pPr>
              <w:jc w:val="both"/>
              <w:rPr>
                <w:b/>
                <w:i/>
                <w:sz w:val="20"/>
                <w:szCs w:val="20"/>
              </w:rPr>
            </w:pPr>
            <w:r w:rsidRPr="006A7CDC">
              <w:rPr>
                <w:b/>
                <w:i/>
                <w:sz w:val="20"/>
                <w:szCs w:val="20"/>
              </w:rPr>
              <w:t>Grand Total</w:t>
            </w:r>
          </w:p>
        </w:tc>
        <w:tc>
          <w:tcPr>
            <w:tcW w:w="1222" w:type="pct"/>
            <w:shd w:val="clear" w:color="auto" w:fill="FFF2CC" w:themeFill="accent4" w:themeFillTint="33"/>
          </w:tcPr>
          <w:p w14:paraId="74933622" w14:textId="77777777" w:rsidR="00E270CF" w:rsidRPr="006A7CDC" w:rsidRDefault="00E270CF" w:rsidP="006A7CDC">
            <w:pPr>
              <w:jc w:val="both"/>
              <w:rPr>
                <w:i/>
                <w:iCs/>
                <w:sz w:val="20"/>
                <w:szCs w:val="20"/>
              </w:rPr>
            </w:pPr>
          </w:p>
        </w:tc>
        <w:tc>
          <w:tcPr>
            <w:tcW w:w="190" w:type="pct"/>
            <w:shd w:val="clear" w:color="auto" w:fill="FFF2CC" w:themeFill="accent4" w:themeFillTint="33"/>
          </w:tcPr>
          <w:p w14:paraId="4E90BB20" w14:textId="77777777" w:rsidR="00E270CF" w:rsidRPr="006A7CDC" w:rsidRDefault="00E270CF" w:rsidP="006A7CDC">
            <w:pPr>
              <w:jc w:val="both"/>
              <w:rPr>
                <w:sz w:val="20"/>
                <w:szCs w:val="20"/>
              </w:rPr>
            </w:pPr>
          </w:p>
        </w:tc>
        <w:tc>
          <w:tcPr>
            <w:tcW w:w="175" w:type="pct"/>
            <w:shd w:val="clear" w:color="auto" w:fill="FFF2CC" w:themeFill="accent4" w:themeFillTint="33"/>
          </w:tcPr>
          <w:p w14:paraId="21678F5F" w14:textId="77777777" w:rsidR="00E270CF" w:rsidRPr="006A7CDC" w:rsidRDefault="00E270CF" w:rsidP="006A7CDC">
            <w:pPr>
              <w:jc w:val="both"/>
              <w:rPr>
                <w:sz w:val="20"/>
                <w:szCs w:val="20"/>
              </w:rPr>
            </w:pPr>
          </w:p>
        </w:tc>
        <w:tc>
          <w:tcPr>
            <w:tcW w:w="177" w:type="pct"/>
            <w:shd w:val="clear" w:color="auto" w:fill="FFF2CC" w:themeFill="accent4" w:themeFillTint="33"/>
          </w:tcPr>
          <w:p w14:paraId="1CF3F3B3" w14:textId="77777777" w:rsidR="00E270CF" w:rsidRPr="006A7CDC" w:rsidRDefault="00E270CF" w:rsidP="006A7CDC">
            <w:pPr>
              <w:jc w:val="both"/>
              <w:rPr>
                <w:sz w:val="20"/>
                <w:szCs w:val="20"/>
              </w:rPr>
            </w:pPr>
          </w:p>
        </w:tc>
        <w:tc>
          <w:tcPr>
            <w:tcW w:w="749" w:type="pct"/>
            <w:shd w:val="clear" w:color="auto" w:fill="FFF2CC" w:themeFill="accent4" w:themeFillTint="33"/>
          </w:tcPr>
          <w:p w14:paraId="55D8D8BE" w14:textId="77777777" w:rsidR="00E270CF" w:rsidRPr="006A7CDC" w:rsidRDefault="00E270CF" w:rsidP="006A7CDC">
            <w:pPr>
              <w:jc w:val="both"/>
              <w:rPr>
                <w:sz w:val="20"/>
                <w:szCs w:val="20"/>
              </w:rPr>
            </w:pPr>
          </w:p>
        </w:tc>
        <w:tc>
          <w:tcPr>
            <w:tcW w:w="268" w:type="pct"/>
            <w:shd w:val="clear" w:color="auto" w:fill="FFF2CC" w:themeFill="accent4" w:themeFillTint="33"/>
          </w:tcPr>
          <w:p w14:paraId="7AFFCC22" w14:textId="77777777" w:rsidR="00E270CF" w:rsidRPr="006A7CDC" w:rsidRDefault="00E270CF" w:rsidP="006A7CDC">
            <w:pPr>
              <w:jc w:val="both"/>
              <w:rPr>
                <w:sz w:val="20"/>
                <w:szCs w:val="20"/>
              </w:rPr>
            </w:pPr>
          </w:p>
        </w:tc>
        <w:tc>
          <w:tcPr>
            <w:tcW w:w="605" w:type="pct"/>
            <w:shd w:val="clear" w:color="auto" w:fill="FFF2CC" w:themeFill="accent4" w:themeFillTint="33"/>
          </w:tcPr>
          <w:p w14:paraId="42472FC2" w14:textId="77777777" w:rsidR="00E270CF" w:rsidRPr="006A7CDC" w:rsidRDefault="00E270CF" w:rsidP="006A7CDC">
            <w:pPr>
              <w:jc w:val="both"/>
              <w:rPr>
                <w:sz w:val="20"/>
                <w:szCs w:val="20"/>
              </w:rPr>
            </w:pPr>
          </w:p>
        </w:tc>
        <w:tc>
          <w:tcPr>
            <w:tcW w:w="355" w:type="pct"/>
            <w:shd w:val="clear" w:color="auto" w:fill="FFF2CC" w:themeFill="accent4" w:themeFillTint="33"/>
          </w:tcPr>
          <w:p w14:paraId="4000059C" w14:textId="38EF1EA2" w:rsidR="00E270CF" w:rsidRPr="006A7CDC" w:rsidRDefault="00733DE3" w:rsidP="006A7CDC">
            <w:pPr>
              <w:jc w:val="both"/>
              <w:rPr>
                <w:b/>
                <w:sz w:val="20"/>
                <w:szCs w:val="20"/>
              </w:rPr>
            </w:pPr>
            <w:r w:rsidRPr="006A7CDC">
              <w:rPr>
                <w:b/>
                <w:sz w:val="20"/>
                <w:szCs w:val="20"/>
              </w:rPr>
              <w:t>4</w:t>
            </w:r>
            <w:r w:rsidR="00E270CF" w:rsidRPr="006A7CDC">
              <w:rPr>
                <w:b/>
                <w:sz w:val="20"/>
                <w:szCs w:val="20"/>
              </w:rPr>
              <w:t>80</w:t>
            </w:r>
            <w:r w:rsidR="00B92F65">
              <w:rPr>
                <w:b/>
                <w:sz w:val="20"/>
                <w:szCs w:val="20"/>
              </w:rPr>
              <w:t>,</w:t>
            </w:r>
            <w:r w:rsidR="00E270CF" w:rsidRPr="006A7CDC">
              <w:rPr>
                <w:b/>
                <w:sz w:val="20"/>
                <w:szCs w:val="20"/>
              </w:rPr>
              <w:t>000</w:t>
            </w:r>
          </w:p>
        </w:tc>
      </w:tr>
    </w:tbl>
    <w:p w14:paraId="56DC8F49" w14:textId="77777777" w:rsidR="00093B19" w:rsidRPr="006A7CDC" w:rsidRDefault="00093B19" w:rsidP="006A7CDC">
      <w:pPr>
        <w:jc w:val="both"/>
        <w:rPr>
          <w:sz w:val="22"/>
          <w:szCs w:val="22"/>
        </w:rPr>
      </w:pPr>
    </w:p>
    <w:p w14:paraId="6671D136" w14:textId="77777777" w:rsidR="00EC788B" w:rsidRPr="00D4010B" w:rsidRDefault="00EC788B" w:rsidP="00DE2F23">
      <w:pPr>
        <w:jc w:val="both"/>
      </w:pPr>
    </w:p>
    <w:bookmarkEnd w:id="0"/>
    <w:p w14:paraId="377401D3" w14:textId="77777777" w:rsidR="00EB4DBE" w:rsidRPr="00D4010B" w:rsidRDefault="00EB4DBE">
      <w:pPr>
        <w:jc w:val="both"/>
      </w:pPr>
    </w:p>
    <w:sectPr w:rsidR="00EB4DBE" w:rsidRPr="00D4010B" w:rsidSect="006B1F90">
      <w:pgSz w:w="15840" w:h="12240" w:orient="landscape" w:code="1"/>
      <w:pgMar w:top="1170" w:right="990" w:bottom="900" w:left="450" w:header="720" w:footer="17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uthor" w:initials="A">
    <w:p w14:paraId="727B389E" w14:textId="3AC4F5D7" w:rsidR="006B2410" w:rsidRDefault="006B2410">
      <w:pPr>
        <w:pStyle w:val="CommentText"/>
      </w:pPr>
      <w:r>
        <w:rPr>
          <w:rStyle w:val="CommentReference"/>
        </w:rPr>
        <w:annotationRef/>
      </w:r>
      <w:r>
        <w:t>I</w:t>
      </w:r>
    </w:p>
  </w:comment>
  <w:comment w:id="12" w:author="Author" w:initials="A">
    <w:p w14:paraId="6E813B33" w14:textId="6EC8FD19" w:rsidR="006B2410" w:rsidRDefault="006B241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B389E" w15:done="0"/>
  <w15:commentEx w15:paraId="6E813B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389E" w16cid:durableId="223F3957"/>
  <w16cid:commentId w16cid:paraId="6E813B33" w16cid:durableId="223F39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30B9" w14:textId="77777777" w:rsidR="00F63BD8" w:rsidRDefault="00F63BD8">
      <w:r>
        <w:separator/>
      </w:r>
    </w:p>
  </w:endnote>
  <w:endnote w:type="continuationSeparator" w:id="0">
    <w:p w14:paraId="556377E0" w14:textId="77777777" w:rsidR="00F63BD8" w:rsidRDefault="00F6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C285" w14:textId="77777777" w:rsidR="00F77703" w:rsidRDefault="00F7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989E" w14:textId="77777777" w:rsidR="00B0033B" w:rsidRPr="00207749" w:rsidRDefault="00B0033B">
    <w:pPr>
      <w:pStyle w:val="Footer"/>
      <w:jc w:val="right"/>
      <w:rPr>
        <w:sz w:val="12"/>
        <w:szCs w:val="12"/>
      </w:rPr>
    </w:pPr>
    <w:r w:rsidRPr="00207749">
      <w:rPr>
        <w:sz w:val="12"/>
        <w:szCs w:val="12"/>
      </w:rPr>
      <w:fldChar w:fldCharType="begin"/>
    </w:r>
    <w:r w:rsidRPr="00207749">
      <w:rPr>
        <w:sz w:val="12"/>
        <w:szCs w:val="12"/>
      </w:rPr>
      <w:instrText xml:space="preserve"> PAGE   \* MERGEFORMAT </w:instrText>
    </w:r>
    <w:r w:rsidRPr="00207749">
      <w:rPr>
        <w:sz w:val="12"/>
        <w:szCs w:val="12"/>
      </w:rPr>
      <w:fldChar w:fldCharType="separate"/>
    </w:r>
    <w:r w:rsidRPr="00207749">
      <w:rPr>
        <w:noProof/>
        <w:sz w:val="12"/>
        <w:szCs w:val="12"/>
      </w:rPr>
      <w:t>2</w:t>
    </w:r>
    <w:r w:rsidRPr="00207749">
      <w:rPr>
        <w:noProof/>
        <w:sz w:val="12"/>
        <w:szCs w:val="12"/>
      </w:rPr>
      <w:fldChar w:fldCharType="end"/>
    </w:r>
  </w:p>
  <w:p w14:paraId="2552BC2B" w14:textId="77777777" w:rsidR="00B0033B" w:rsidRDefault="00B0033B" w:rsidP="003E2C24">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C73" w14:textId="77777777" w:rsidR="00F77703" w:rsidRDefault="00F7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B780" w14:textId="77777777" w:rsidR="00F63BD8" w:rsidRDefault="00F63BD8">
      <w:r>
        <w:separator/>
      </w:r>
    </w:p>
  </w:footnote>
  <w:footnote w:type="continuationSeparator" w:id="0">
    <w:p w14:paraId="4FADFBFE" w14:textId="77777777" w:rsidR="00F63BD8" w:rsidRDefault="00F63BD8">
      <w:r>
        <w:continuationSeparator/>
      </w:r>
    </w:p>
  </w:footnote>
  <w:footnote w:id="1">
    <w:p w14:paraId="4DA370E0" w14:textId="77777777" w:rsidR="00B0033B" w:rsidRPr="00BF3DA9" w:rsidRDefault="00B0033B" w:rsidP="00FE69B5">
      <w:pPr>
        <w:pStyle w:val="FootnoteText"/>
        <w:contextualSpacing/>
        <w:rPr>
          <w:sz w:val="18"/>
          <w:szCs w:val="18"/>
        </w:rPr>
      </w:pPr>
      <w:r w:rsidRPr="00BF3DA9">
        <w:rPr>
          <w:rStyle w:val="FootnoteReference"/>
          <w:sz w:val="18"/>
          <w:szCs w:val="18"/>
        </w:rPr>
        <w:footnoteRef/>
      </w:r>
      <w:r w:rsidRPr="00BF3DA9">
        <w:rPr>
          <w:sz w:val="18"/>
          <w:szCs w:val="18"/>
        </w:rPr>
        <w:t xml:space="preserve"> WHO Situation Report 79, 8 April 2020.  </w:t>
      </w:r>
    </w:p>
  </w:footnote>
  <w:footnote w:id="2">
    <w:p w14:paraId="0EAB9516" w14:textId="77777777" w:rsidR="0034380A" w:rsidRPr="00BF3DA9" w:rsidRDefault="0034380A" w:rsidP="0034380A">
      <w:pPr>
        <w:contextualSpacing/>
        <w:jc w:val="both"/>
        <w:rPr>
          <w:color w:val="000000"/>
          <w:sz w:val="18"/>
          <w:szCs w:val="18"/>
        </w:rPr>
      </w:pPr>
      <w:r w:rsidRPr="00BF3DA9">
        <w:rPr>
          <w:rStyle w:val="FootnoteReference"/>
          <w:sz w:val="18"/>
          <w:szCs w:val="18"/>
        </w:rPr>
        <w:footnoteRef/>
      </w:r>
      <w:r w:rsidRPr="00BF3DA9">
        <w:rPr>
          <w:sz w:val="18"/>
          <w:szCs w:val="18"/>
        </w:rPr>
        <w:t xml:space="preserve"> </w:t>
      </w:r>
      <w:r w:rsidRPr="00BF3DA9">
        <w:rPr>
          <w:color w:val="000000"/>
          <w:sz w:val="18"/>
          <w:szCs w:val="18"/>
        </w:rPr>
        <w:t xml:space="preserve">Despite official border closures and restrictions on the numbers of migrants crossing the border, informal cross-border migration and trade continue, as vast sections of the Libyan border remain uncontrolled and many communities rely on cross-border trade for their livelihoods. </w:t>
      </w:r>
    </w:p>
  </w:footnote>
  <w:footnote w:id="3">
    <w:p w14:paraId="2D78496D" w14:textId="700D9471" w:rsidR="00DB0118" w:rsidRPr="004557B2" w:rsidRDefault="00DB0118" w:rsidP="004557B2">
      <w:pPr>
        <w:rPr>
          <w:color w:val="000000"/>
          <w:sz w:val="18"/>
          <w:szCs w:val="18"/>
        </w:rPr>
      </w:pPr>
      <w:r w:rsidRPr="004557B2">
        <w:rPr>
          <w:color w:val="000000"/>
          <w:sz w:val="18"/>
          <w:szCs w:val="18"/>
        </w:rPr>
        <w:footnoteRef/>
      </w:r>
      <w:r w:rsidRPr="004557B2">
        <w:rPr>
          <w:color w:val="000000"/>
          <w:sz w:val="18"/>
          <w:szCs w:val="18"/>
        </w:rPr>
        <w:t xml:space="preserve"> Misrata</w:t>
      </w:r>
      <w:r w:rsidR="008E0B49" w:rsidRPr="004557B2">
        <w:rPr>
          <w:color w:val="000000"/>
          <w:sz w:val="18"/>
          <w:szCs w:val="18"/>
        </w:rPr>
        <w:t xml:space="preserve">, </w:t>
      </w:r>
      <w:r w:rsidRPr="004557B2">
        <w:rPr>
          <w:color w:val="000000"/>
          <w:sz w:val="18"/>
          <w:szCs w:val="18"/>
        </w:rPr>
        <w:t>Zintan</w:t>
      </w:r>
      <w:r w:rsidR="008E0B49" w:rsidRPr="004557B2">
        <w:rPr>
          <w:color w:val="000000"/>
          <w:sz w:val="18"/>
          <w:szCs w:val="18"/>
        </w:rPr>
        <w:t xml:space="preserve">, </w:t>
      </w:r>
      <w:proofErr w:type="spellStart"/>
      <w:r w:rsidRPr="004557B2">
        <w:rPr>
          <w:color w:val="000000"/>
          <w:sz w:val="18"/>
          <w:szCs w:val="18"/>
        </w:rPr>
        <w:t>Zaweya</w:t>
      </w:r>
      <w:proofErr w:type="spellEnd"/>
      <w:r w:rsidR="008E0B49" w:rsidRPr="004557B2">
        <w:rPr>
          <w:color w:val="000000"/>
          <w:sz w:val="18"/>
          <w:szCs w:val="18"/>
        </w:rPr>
        <w:t xml:space="preserve">, </w:t>
      </w:r>
      <w:r w:rsidRPr="004557B2">
        <w:rPr>
          <w:color w:val="000000"/>
          <w:sz w:val="18"/>
          <w:szCs w:val="18"/>
        </w:rPr>
        <w:t>Tripoli</w:t>
      </w:r>
      <w:r w:rsidR="008E0B49" w:rsidRPr="004557B2">
        <w:rPr>
          <w:color w:val="000000"/>
          <w:sz w:val="18"/>
          <w:szCs w:val="18"/>
        </w:rPr>
        <w:t xml:space="preserve">, </w:t>
      </w:r>
      <w:proofErr w:type="spellStart"/>
      <w:r w:rsidRPr="004557B2">
        <w:rPr>
          <w:color w:val="000000"/>
          <w:sz w:val="18"/>
          <w:szCs w:val="18"/>
        </w:rPr>
        <w:t>Ghat</w:t>
      </w:r>
      <w:proofErr w:type="spellEnd"/>
      <w:r w:rsidR="008E0B49" w:rsidRPr="004557B2">
        <w:rPr>
          <w:color w:val="000000"/>
          <w:sz w:val="18"/>
          <w:szCs w:val="18"/>
        </w:rPr>
        <w:t xml:space="preserve">, </w:t>
      </w:r>
      <w:proofErr w:type="spellStart"/>
      <w:r w:rsidRPr="004557B2">
        <w:rPr>
          <w:color w:val="000000"/>
          <w:sz w:val="18"/>
          <w:szCs w:val="18"/>
        </w:rPr>
        <w:t>Brak</w:t>
      </w:r>
      <w:proofErr w:type="spellEnd"/>
      <w:r w:rsidRPr="004557B2">
        <w:rPr>
          <w:color w:val="000000"/>
          <w:sz w:val="18"/>
          <w:szCs w:val="18"/>
        </w:rPr>
        <w:t xml:space="preserve"> Al </w:t>
      </w:r>
      <w:proofErr w:type="spellStart"/>
      <w:r w:rsidRPr="004557B2">
        <w:rPr>
          <w:color w:val="000000"/>
          <w:sz w:val="18"/>
          <w:szCs w:val="18"/>
        </w:rPr>
        <w:t>Shaty</w:t>
      </w:r>
      <w:proofErr w:type="spellEnd"/>
      <w:r w:rsidR="008E0B49" w:rsidRPr="004557B2">
        <w:rPr>
          <w:color w:val="000000"/>
          <w:sz w:val="18"/>
          <w:szCs w:val="18"/>
        </w:rPr>
        <w:t xml:space="preserve">, </w:t>
      </w:r>
      <w:r w:rsidRPr="004557B2">
        <w:rPr>
          <w:color w:val="000000"/>
          <w:sz w:val="18"/>
          <w:szCs w:val="18"/>
        </w:rPr>
        <w:t xml:space="preserve">Bani </w:t>
      </w:r>
      <w:proofErr w:type="spellStart"/>
      <w:r w:rsidRPr="004557B2">
        <w:rPr>
          <w:color w:val="000000"/>
          <w:sz w:val="18"/>
          <w:szCs w:val="18"/>
        </w:rPr>
        <w:t>Walied</w:t>
      </w:r>
      <w:proofErr w:type="spellEnd"/>
      <w:r w:rsidR="008E0B49" w:rsidRPr="004557B2">
        <w:rPr>
          <w:color w:val="000000"/>
          <w:sz w:val="18"/>
          <w:szCs w:val="18"/>
        </w:rPr>
        <w:t xml:space="preserve">, </w:t>
      </w:r>
      <w:proofErr w:type="spellStart"/>
      <w:r w:rsidRPr="004557B2">
        <w:rPr>
          <w:color w:val="000000"/>
          <w:sz w:val="18"/>
          <w:szCs w:val="18"/>
        </w:rPr>
        <w:t>Subratha</w:t>
      </w:r>
      <w:proofErr w:type="spellEnd"/>
      <w:r w:rsidRPr="004557B2">
        <w:rPr>
          <w:color w:val="000000"/>
          <w:sz w:val="18"/>
          <w:szCs w:val="18"/>
        </w:rPr>
        <w:t xml:space="preserve">, </w:t>
      </w:r>
      <w:proofErr w:type="spellStart"/>
      <w:r w:rsidRPr="004557B2">
        <w:rPr>
          <w:color w:val="000000"/>
          <w:sz w:val="18"/>
          <w:szCs w:val="18"/>
        </w:rPr>
        <w:t>Ghdamis</w:t>
      </w:r>
      <w:proofErr w:type="spellEnd"/>
      <w:r w:rsidRPr="004557B2">
        <w:rPr>
          <w:color w:val="000000"/>
          <w:sz w:val="18"/>
          <w:szCs w:val="18"/>
        </w:rPr>
        <w:t xml:space="preserve">, </w:t>
      </w:r>
      <w:proofErr w:type="spellStart"/>
      <w:r w:rsidRPr="004557B2">
        <w:rPr>
          <w:color w:val="000000"/>
          <w:sz w:val="18"/>
          <w:szCs w:val="18"/>
        </w:rPr>
        <w:t>Nalut</w:t>
      </w:r>
      <w:proofErr w:type="spellEnd"/>
      <w:r w:rsidRPr="004557B2">
        <w:rPr>
          <w:color w:val="000000"/>
          <w:sz w:val="18"/>
          <w:szCs w:val="18"/>
        </w:rPr>
        <w:t xml:space="preserve">, </w:t>
      </w:r>
      <w:proofErr w:type="spellStart"/>
      <w:r w:rsidRPr="004557B2">
        <w:rPr>
          <w:color w:val="000000"/>
          <w:sz w:val="18"/>
          <w:szCs w:val="18"/>
        </w:rPr>
        <w:t>Swani</w:t>
      </w:r>
      <w:proofErr w:type="spellEnd"/>
    </w:p>
  </w:footnote>
  <w:footnote w:id="4">
    <w:p w14:paraId="678321F7" w14:textId="77777777" w:rsidR="00B0033B" w:rsidRPr="005C34A0" w:rsidRDefault="00B0033B" w:rsidP="00FE69B5">
      <w:pPr>
        <w:pStyle w:val="Heading1"/>
        <w:contextualSpacing/>
        <w:rPr>
          <w:b w:val="0"/>
          <w:bCs w:val="0"/>
          <w:sz w:val="18"/>
          <w:szCs w:val="18"/>
        </w:rPr>
      </w:pPr>
      <w:r w:rsidRPr="005C34A0">
        <w:rPr>
          <w:b w:val="0"/>
          <w:bCs w:val="0"/>
          <w:color w:val="000000"/>
          <w:sz w:val="18"/>
          <w:szCs w:val="18"/>
        </w:rPr>
        <w:footnoteRef/>
      </w:r>
      <w:r w:rsidRPr="004557B2">
        <w:rPr>
          <w:b w:val="0"/>
          <w:bCs w:val="0"/>
          <w:color w:val="000000"/>
          <w:sz w:val="18"/>
          <w:szCs w:val="18"/>
        </w:rPr>
        <w:t xml:space="preserve"> </w:t>
      </w:r>
      <w:r w:rsidRPr="005C34A0">
        <w:rPr>
          <w:b w:val="0"/>
          <w:bCs w:val="0"/>
          <w:color w:val="000000"/>
          <w:sz w:val="18"/>
          <w:szCs w:val="18"/>
        </w:rPr>
        <w:t>Reuters, War-stricken Libya free from coronavirus but at risk, 12 March 2020.</w:t>
      </w:r>
      <w:r w:rsidRPr="005C34A0">
        <w:rPr>
          <w:b w:val="0"/>
          <w:bCs w:val="0"/>
          <w:sz w:val="18"/>
          <w:szCs w:val="18"/>
        </w:rPr>
        <w:t xml:space="preserve"> </w:t>
      </w:r>
    </w:p>
  </w:footnote>
  <w:footnote w:id="5">
    <w:p w14:paraId="2CBAEAAE" w14:textId="77777777" w:rsidR="00B0033B" w:rsidRPr="00BF3DA9" w:rsidRDefault="00B0033B" w:rsidP="00FE69B5">
      <w:pPr>
        <w:pStyle w:val="FootnoteText"/>
        <w:contextualSpacing/>
        <w:rPr>
          <w:sz w:val="18"/>
          <w:szCs w:val="18"/>
        </w:rPr>
      </w:pPr>
      <w:r w:rsidRPr="00BF3DA9">
        <w:rPr>
          <w:sz w:val="18"/>
          <w:szCs w:val="18"/>
        </w:rPr>
        <w:footnoteRef/>
      </w:r>
      <w:r w:rsidRPr="00BF3DA9">
        <w:rPr>
          <w:sz w:val="18"/>
          <w:szCs w:val="18"/>
        </w:rPr>
        <w:t xml:space="preserve"> The 2017 Service Availability and Readiness Assessment for Libya, conducted by WHO and MOH, found that only 4 of 97 hospitals are functional at a level of 75-80% of its capacity; 17% of hospitals (17 out of 97) and 20% of primary health care </w:t>
      </w:r>
      <w:r w:rsidR="006A7CDC" w:rsidRPr="00BF3DA9">
        <w:rPr>
          <w:sz w:val="18"/>
          <w:szCs w:val="18"/>
        </w:rPr>
        <w:t>centres</w:t>
      </w:r>
      <w:r w:rsidRPr="00BF3DA9">
        <w:rPr>
          <w:sz w:val="18"/>
          <w:szCs w:val="18"/>
        </w:rPr>
        <w:t xml:space="preserve"> (273 out of 1,355) are closed, and the rest are not well ready for service delivery.</w:t>
      </w:r>
    </w:p>
  </w:footnote>
  <w:footnote w:id="6">
    <w:p w14:paraId="19C9E8E9" w14:textId="77777777" w:rsidR="00B0033B" w:rsidRPr="00723D5A" w:rsidRDefault="00B0033B" w:rsidP="00FE69B5">
      <w:pPr>
        <w:pStyle w:val="FootnoteText"/>
        <w:contextualSpacing/>
        <w:rPr>
          <w:sz w:val="18"/>
          <w:szCs w:val="18"/>
        </w:rPr>
      </w:pPr>
      <w:r w:rsidRPr="00BF3DA9">
        <w:rPr>
          <w:rStyle w:val="FootnoteReference"/>
          <w:sz w:val="18"/>
          <w:szCs w:val="18"/>
        </w:rPr>
        <w:footnoteRef/>
      </w:r>
      <w:r w:rsidRPr="00BF3DA9">
        <w:rPr>
          <w:sz w:val="18"/>
          <w:szCs w:val="18"/>
        </w:rPr>
        <w:t xml:space="preserve"> GHSI, March 2020</w:t>
      </w:r>
      <w:r w:rsidRPr="00723D5A">
        <w:rPr>
          <w:bCs/>
          <w:sz w:val="18"/>
          <w:szCs w:val="18"/>
        </w:rPr>
        <w:t xml:space="preserve"> </w:t>
      </w:r>
    </w:p>
  </w:footnote>
  <w:footnote w:id="7">
    <w:p w14:paraId="10D56D57" w14:textId="0A1240A8" w:rsidR="00EF5F57" w:rsidRPr="005C34A0" w:rsidRDefault="00EF5F57">
      <w:pPr>
        <w:pStyle w:val="FootnoteText"/>
        <w:rPr>
          <w:sz w:val="18"/>
          <w:szCs w:val="18"/>
        </w:rPr>
      </w:pPr>
      <w:r w:rsidRPr="005C34A0">
        <w:rPr>
          <w:rStyle w:val="FootnoteReference"/>
          <w:sz w:val="18"/>
          <w:szCs w:val="18"/>
        </w:rPr>
        <w:footnoteRef/>
      </w:r>
      <w:r w:rsidRPr="005C34A0">
        <w:rPr>
          <w:sz w:val="18"/>
          <w:szCs w:val="18"/>
        </w:rPr>
        <w:t xml:space="preserve"> Economist Intelligence Unit, Country Report, Libya (April 2020)</w:t>
      </w:r>
    </w:p>
  </w:footnote>
  <w:footnote w:id="8">
    <w:p w14:paraId="3A661980" w14:textId="2A1714C1" w:rsidR="00EF5F57" w:rsidRPr="00A44396" w:rsidRDefault="00EF5F57">
      <w:pPr>
        <w:pStyle w:val="FootnoteText"/>
      </w:pPr>
      <w:r w:rsidRPr="005C34A0">
        <w:rPr>
          <w:rStyle w:val="FootnoteReference"/>
          <w:sz w:val="18"/>
          <w:szCs w:val="18"/>
        </w:rPr>
        <w:footnoteRef/>
      </w:r>
      <w:r w:rsidRPr="005C34A0">
        <w:rPr>
          <w:sz w:val="18"/>
          <w:szCs w:val="18"/>
        </w:rPr>
        <w:t xml:space="preserve"> ILOSTAT</w:t>
      </w:r>
      <w:r w:rsidR="00A31491" w:rsidRPr="005C34A0">
        <w:rPr>
          <w:sz w:val="18"/>
          <w:szCs w:val="18"/>
        </w:rPr>
        <w:t>, Dec 2019</w:t>
      </w:r>
    </w:p>
  </w:footnote>
  <w:footnote w:id="9">
    <w:p w14:paraId="71F8E1FF" w14:textId="77777777" w:rsidR="00B0033B" w:rsidRPr="005C34A0" w:rsidRDefault="00B0033B" w:rsidP="0070518A">
      <w:pPr>
        <w:pStyle w:val="FootnoteText"/>
        <w:rPr>
          <w:sz w:val="18"/>
          <w:szCs w:val="18"/>
        </w:rPr>
      </w:pPr>
      <w:r w:rsidRPr="005C34A0">
        <w:rPr>
          <w:rStyle w:val="FootnoteReference"/>
          <w:sz w:val="18"/>
          <w:szCs w:val="18"/>
        </w:rPr>
        <w:footnoteRef/>
      </w:r>
      <w:r w:rsidRPr="005C34A0">
        <w:rPr>
          <w:sz w:val="18"/>
          <w:szCs w:val="18"/>
        </w:rPr>
        <w:t xml:space="preserve"> </w:t>
      </w:r>
      <w:r w:rsidRPr="005C34A0">
        <w:rPr>
          <w:bCs/>
          <w:sz w:val="18"/>
          <w:szCs w:val="18"/>
        </w:rPr>
        <w:t>Immediate support priorities identified by the Government and UN include procuring urgently required medical equipment and supplies including PPE and diagnostic kits; need for laboratory capacity across the country, particularly in the South, which lacks a testing facility; provision of capacity building and upgrading of health systems at all levels; and support to public awareness and health education. (OCHA situation report, 6 April 2020)</w:t>
      </w:r>
    </w:p>
  </w:footnote>
  <w:footnote w:id="10">
    <w:p w14:paraId="4C7B08B0" w14:textId="77777777" w:rsidR="00627E9C" w:rsidRPr="005C34A0" w:rsidRDefault="00627E9C" w:rsidP="00627E9C">
      <w:pPr>
        <w:jc w:val="both"/>
        <w:rPr>
          <w:bCs/>
          <w:sz w:val="18"/>
          <w:szCs w:val="18"/>
        </w:rPr>
      </w:pPr>
      <w:r w:rsidRPr="005C34A0">
        <w:rPr>
          <w:rStyle w:val="FootnoteReference"/>
          <w:sz w:val="18"/>
          <w:szCs w:val="18"/>
        </w:rPr>
        <w:footnoteRef/>
      </w:r>
      <w:r w:rsidRPr="005C34A0">
        <w:rPr>
          <w:sz w:val="18"/>
          <w:szCs w:val="18"/>
        </w:rPr>
        <w:t xml:space="preserve"> </w:t>
      </w:r>
      <w:r w:rsidRPr="005C34A0">
        <w:rPr>
          <w:bCs/>
          <w:sz w:val="18"/>
          <w:szCs w:val="18"/>
          <w:lang w:eastAsia="zh-CN"/>
        </w:rPr>
        <w:t>Barring</w:t>
      </w:r>
      <w:r w:rsidRPr="005C34A0">
        <w:rPr>
          <w:bCs/>
          <w:sz w:val="18"/>
          <w:szCs w:val="18"/>
        </w:rPr>
        <w:t xml:space="preserve"> further intensification of conflict and instability</w:t>
      </w:r>
      <w:r>
        <w:rPr>
          <w:bCs/>
          <w:sz w:val="18"/>
          <w:szCs w:val="18"/>
        </w:rPr>
        <w:t>.</w:t>
      </w:r>
    </w:p>
    <w:p w14:paraId="27093509" w14:textId="77777777" w:rsidR="00627E9C" w:rsidRDefault="00627E9C" w:rsidP="00627E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CCED" w14:textId="77777777" w:rsidR="00B0033B" w:rsidRDefault="00F63BD8">
    <w:pPr>
      <w:pStyle w:val="Header"/>
    </w:pPr>
    <w:r>
      <w:rPr>
        <w:noProof/>
      </w:rPr>
      <w:pict w14:anchorId="54074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58.3pt;height:223.3pt;rotation:315;z-index:-251658240;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4EEE" w14:textId="77777777" w:rsidR="00F77703" w:rsidRDefault="00F7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C740" w14:textId="77777777" w:rsidR="00B0033B" w:rsidRDefault="00F63BD8">
    <w:pPr>
      <w:pStyle w:val="Header"/>
    </w:pPr>
    <w:r>
      <w:rPr>
        <w:noProof/>
      </w:rPr>
      <w:pict w14:anchorId="37658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558.3pt;height:223.3pt;rotation:315;z-index:-251659264;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A7"/>
    <w:multiLevelType w:val="hybridMultilevel"/>
    <w:tmpl w:val="7466D6EC"/>
    <w:lvl w:ilvl="0" w:tplc="CD5A8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56AC4"/>
    <w:multiLevelType w:val="multilevel"/>
    <w:tmpl w:val="60344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166E2B"/>
    <w:multiLevelType w:val="multilevel"/>
    <w:tmpl w:val="8002299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707173"/>
    <w:multiLevelType w:val="multilevel"/>
    <w:tmpl w:val="41D86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C82063"/>
    <w:multiLevelType w:val="multilevel"/>
    <w:tmpl w:val="69FEA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475111"/>
    <w:multiLevelType w:val="hybridMultilevel"/>
    <w:tmpl w:val="7B9ED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96C64"/>
    <w:multiLevelType w:val="hybridMultilevel"/>
    <w:tmpl w:val="5BBE1F26"/>
    <w:lvl w:ilvl="0" w:tplc="FA120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E1862"/>
    <w:multiLevelType w:val="hybridMultilevel"/>
    <w:tmpl w:val="3BCA411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C26F7"/>
    <w:multiLevelType w:val="hybridMultilevel"/>
    <w:tmpl w:val="215C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3D553E"/>
    <w:multiLevelType w:val="multilevel"/>
    <w:tmpl w:val="DB5CD26A"/>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697E1C"/>
    <w:multiLevelType w:val="hybridMultilevel"/>
    <w:tmpl w:val="F8A42C82"/>
    <w:lvl w:ilvl="0" w:tplc="221CF37C">
      <w:start w:val="1"/>
      <w:numFmt w:val="bullet"/>
      <w:lvlText w:val=""/>
      <w:lvlJc w:val="left"/>
      <w:pPr>
        <w:tabs>
          <w:tab w:val="num" w:pos="504"/>
        </w:tabs>
        <w:ind w:left="216" w:hanging="72"/>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0C3F02E5"/>
    <w:multiLevelType w:val="multilevel"/>
    <w:tmpl w:val="7FE6FF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AD4726"/>
    <w:multiLevelType w:val="hybridMultilevel"/>
    <w:tmpl w:val="75CC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6A36A8"/>
    <w:multiLevelType w:val="hybridMultilevel"/>
    <w:tmpl w:val="F0FE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2734A"/>
    <w:multiLevelType w:val="multilevel"/>
    <w:tmpl w:val="57EA02A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9933B5"/>
    <w:multiLevelType w:val="hybridMultilevel"/>
    <w:tmpl w:val="D954EBD8"/>
    <w:lvl w:ilvl="0" w:tplc="8670FEC8">
      <w:start w:val="1"/>
      <w:numFmt w:val="bullet"/>
      <w:lvlText w:val="-"/>
      <w:lvlJc w:val="left"/>
      <w:pPr>
        <w:ind w:left="720" w:hanging="360"/>
      </w:pPr>
      <w:rPr>
        <w:rFonts w:ascii="Times New Roman" w:eastAsia="Times New Roman" w:hAnsi="Times New Roman" w:cs="Times New Roman"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F43854"/>
    <w:multiLevelType w:val="multilevel"/>
    <w:tmpl w:val="7B3E5C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7A54DD7"/>
    <w:multiLevelType w:val="multilevel"/>
    <w:tmpl w:val="0A2CB4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057948"/>
    <w:multiLevelType w:val="multilevel"/>
    <w:tmpl w:val="2746054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B6C3C39"/>
    <w:multiLevelType w:val="hybridMultilevel"/>
    <w:tmpl w:val="1DE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D55923"/>
    <w:multiLevelType w:val="multilevel"/>
    <w:tmpl w:val="D9B47256"/>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3C74EDD"/>
    <w:multiLevelType w:val="multilevel"/>
    <w:tmpl w:val="99CA84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7A17E93"/>
    <w:multiLevelType w:val="multilevel"/>
    <w:tmpl w:val="489638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2B7A2BB6"/>
    <w:multiLevelType w:val="hybridMultilevel"/>
    <w:tmpl w:val="0B587C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BC00CF"/>
    <w:multiLevelType w:val="singleLevel"/>
    <w:tmpl w:val="C478B278"/>
    <w:lvl w:ilvl="0">
      <w:start w:val="1"/>
      <w:numFmt w:val="decimal"/>
      <w:lvlText w:val="%1."/>
      <w:lvlJc w:val="left"/>
      <w:pPr>
        <w:tabs>
          <w:tab w:val="num" w:pos="720"/>
        </w:tabs>
        <w:ind w:left="720" w:hanging="720"/>
      </w:pPr>
      <w:rPr>
        <w:rFonts w:hint="default"/>
        <w:b w:val="0"/>
      </w:rPr>
    </w:lvl>
  </w:abstractNum>
  <w:abstractNum w:abstractNumId="26" w15:restartNumberingAfterBreak="0">
    <w:nsid w:val="323840F0"/>
    <w:multiLevelType w:val="hybridMultilevel"/>
    <w:tmpl w:val="004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2F6469B"/>
    <w:multiLevelType w:val="hybridMultilevel"/>
    <w:tmpl w:val="CF6E4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22E3B"/>
    <w:multiLevelType w:val="multilevel"/>
    <w:tmpl w:val="78D02E2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6216081"/>
    <w:multiLevelType w:val="hybridMultilevel"/>
    <w:tmpl w:val="2CBA2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410E29"/>
    <w:multiLevelType w:val="multilevel"/>
    <w:tmpl w:val="C0EA5F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73558B"/>
    <w:multiLevelType w:val="multilevel"/>
    <w:tmpl w:val="7B9ED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D62085"/>
    <w:multiLevelType w:val="multilevel"/>
    <w:tmpl w:val="6FAA27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C665395"/>
    <w:multiLevelType w:val="multilevel"/>
    <w:tmpl w:val="83A020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10E7ABD"/>
    <w:multiLevelType w:val="hybridMultilevel"/>
    <w:tmpl w:val="04A8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15191A"/>
    <w:multiLevelType w:val="hybridMultilevel"/>
    <w:tmpl w:val="B888A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5005CC5"/>
    <w:multiLevelType w:val="multilevel"/>
    <w:tmpl w:val="741E02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7863310"/>
    <w:multiLevelType w:val="hybridMultilevel"/>
    <w:tmpl w:val="9AC04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BE67209"/>
    <w:multiLevelType w:val="multilevel"/>
    <w:tmpl w:val="3F3C571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001B3E"/>
    <w:multiLevelType w:val="hybridMultilevel"/>
    <w:tmpl w:val="88E2A64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02C74FB"/>
    <w:multiLevelType w:val="hybridMultilevel"/>
    <w:tmpl w:val="AF0A8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195133B"/>
    <w:multiLevelType w:val="hybridMultilevel"/>
    <w:tmpl w:val="D4A2D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1BB468D"/>
    <w:multiLevelType w:val="hybridMultilevel"/>
    <w:tmpl w:val="C0CE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F25470"/>
    <w:multiLevelType w:val="multilevel"/>
    <w:tmpl w:val="2E7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054C24"/>
    <w:multiLevelType w:val="hybridMultilevel"/>
    <w:tmpl w:val="3DA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CA16E8"/>
    <w:multiLevelType w:val="hybridMultilevel"/>
    <w:tmpl w:val="71BCD020"/>
    <w:lvl w:ilvl="0" w:tplc="D09CAEF4">
      <w:numFmt w:val="bullet"/>
      <w:lvlText w:val="-"/>
      <w:lvlJc w:val="left"/>
      <w:pPr>
        <w:ind w:left="36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E4537A5"/>
    <w:multiLevelType w:val="hybridMultilevel"/>
    <w:tmpl w:val="C360B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E96988"/>
    <w:multiLevelType w:val="hybridMultilevel"/>
    <w:tmpl w:val="92F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132B79"/>
    <w:multiLevelType w:val="multilevel"/>
    <w:tmpl w:val="03705E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32661E9"/>
    <w:multiLevelType w:val="hybridMultilevel"/>
    <w:tmpl w:val="CBC6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3BB4D92"/>
    <w:multiLevelType w:val="multilevel"/>
    <w:tmpl w:val="4A50619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63F41AD"/>
    <w:multiLevelType w:val="hybridMultilevel"/>
    <w:tmpl w:val="8B5E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6" w15:restartNumberingAfterBreak="0">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F8B7071"/>
    <w:multiLevelType w:val="hybridMultilevel"/>
    <w:tmpl w:val="0D583CD4"/>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53016D"/>
    <w:multiLevelType w:val="multilevel"/>
    <w:tmpl w:val="DF568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36E095E"/>
    <w:multiLevelType w:val="multilevel"/>
    <w:tmpl w:val="20DC19A4"/>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5227C59"/>
    <w:multiLevelType w:val="multilevel"/>
    <w:tmpl w:val="4F92EC9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5D83C19"/>
    <w:multiLevelType w:val="multilevel"/>
    <w:tmpl w:val="B830869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77432A2D"/>
    <w:multiLevelType w:val="multilevel"/>
    <w:tmpl w:val="666A74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779341F"/>
    <w:multiLevelType w:val="hybridMultilevel"/>
    <w:tmpl w:val="7EB8CB9E"/>
    <w:lvl w:ilvl="0" w:tplc="C24A04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10434F"/>
    <w:multiLevelType w:val="hybridMultilevel"/>
    <w:tmpl w:val="396A2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1F7C34"/>
    <w:multiLevelType w:val="hybridMultilevel"/>
    <w:tmpl w:val="5B3A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DC3698"/>
    <w:multiLevelType w:val="hybridMultilevel"/>
    <w:tmpl w:val="3FA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7419BE"/>
    <w:multiLevelType w:val="hybridMultilevel"/>
    <w:tmpl w:val="564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AAD144A"/>
    <w:multiLevelType w:val="hybridMultilevel"/>
    <w:tmpl w:val="3A7A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2E34CA"/>
    <w:multiLevelType w:val="multilevel"/>
    <w:tmpl w:val="3A7AC3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E35A4C"/>
    <w:multiLevelType w:val="multilevel"/>
    <w:tmpl w:val="AE849284"/>
    <w:lvl w:ilvl="0">
      <w:start w:val="4"/>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48"/>
  </w:num>
  <w:num w:numId="3">
    <w:abstractNumId w:val="56"/>
  </w:num>
  <w:num w:numId="4">
    <w:abstractNumId w:val="19"/>
  </w:num>
  <w:num w:numId="5">
    <w:abstractNumId w:val="25"/>
  </w:num>
  <w:num w:numId="6">
    <w:abstractNumId w:val="57"/>
  </w:num>
  <w:num w:numId="7">
    <w:abstractNumId w:val="29"/>
  </w:num>
  <w:num w:numId="8">
    <w:abstractNumId w:val="10"/>
  </w:num>
  <w:num w:numId="9">
    <w:abstractNumId w:val="24"/>
  </w:num>
  <w:num w:numId="10">
    <w:abstractNumId w:val="23"/>
  </w:num>
  <w:num w:numId="11">
    <w:abstractNumId w:val="65"/>
  </w:num>
  <w:num w:numId="12">
    <w:abstractNumId w:val="5"/>
  </w:num>
  <w:num w:numId="13">
    <w:abstractNumId w:val="31"/>
  </w:num>
  <w:num w:numId="14">
    <w:abstractNumId w:val="55"/>
  </w:num>
  <w:num w:numId="15">
    <w:abstractNumId w:val="54"/>
  </w:num>
  <w:num w:numId="16">
    <w:abstractNumId w:val="68"/>
  </w:num>
  <w:num w:numId="17">
    <w:abstractNumId w:val="66"/>
  </w:num>
  <w:num w:numId="18">
    <w:abstractNumId w:val="69"/>
  </w:num>
  <w:num w:numId="19">
    <w:abstractNumId w:val="49"/>
  </w:num>
  <w:num w:numId="20">
    <w:abstractNumId w:val="38"/>
  </w:num>
  <w:num w:numId="21">
    <w:abstractNumId w:val="26"/>
  </w:num>
  <w:num w:numId="22">
    <w:abstractNumId w:val="27"/>
  </w:num>
  <w:num w:numId="23">
    <w:abstractNumId w:val="37"/>
  </w:num>
  <w:num w:numId="24">
    <w:abstractNumId w:val="46"/>
  </w:num>
  <w:num w:numId="25">
    <w:abstractNumId w:val="0"/>
  </w:num>
  <w:num w:numId="26">
    <w:abstractNumId w:val="47"/>
  </w:num>
  <w:num w:numId="27">
    <w:abstractNumId w:val="37"/>
  </w:num>
  <w:num w:numId="28">
    <w:abstractNumId w:val="12"/>
  </w:num>
  <w:num w:numId="29">
    <w:abstractNumId w:val="52"/>
  </w:num>
  <w:num w:numId="30">
    <w:abstractNumId w:val="8"/>
  </w:num>
  <w:num w:numId="31">
    <w:abstractNumId w:val="34"/>
  </w:num>
  <w:num w:numId="32">
    <w:abstractNumId w:val="67"/>
  </w:num>
  <w:num w:numId="33">
    <w:abstractNumId w:val="45"/>
  </w:num>
  <w:num w:numId="34">
    <w:abstractNumId w:val="6"/>
  </w:num>
  <w:num w:numId="35">
    <w:abstractNumId w:val="40"/>
  </w:num>
  <w:num w:numId="36">
    <w:abstractNumId w:val="3"/>
  </w:num>
  <w:num w:numId="37">
    <w:abstractNumId w:val="50"/>
  </w:num>
  <w:num w:numId="38">
    <w:abstractNumId w:val="13"/>
  </w:num>
  <w:num w:numId="39">
    <w:abstractNumId w:val="7"/>
  </w:num>
  <w:num w:numId="40">
    <w:abstractNumId w:val="63"/>
  </w:num>
  <w:num w:numId="41">
    <w:abstractNumId w:val="43"/>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41"/>
  </w:num>
  <w:num w:numId="71">
    <w:abstractNumId w:val="42"/>
  </w:num>
  <w:num w:numId="72">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C"/>
    <w:rsid w:val="00001173"/>
    <w:rsid w:val="000015AC"/>
    <w:rsid w:val="00003C6D"/>
    <w:rsid w:val="00010350"/>
    <w:rsid w:val="000103B2"/>
    <w:rsid w:val="000110C7"/>
    <w:rsid w:val="000113CB"/>
    <w:rsid w:val="0001156F"/>
    <w:rsid w:val="00011720"/>
    <w:rsid w:val="000169AE"/>
    <w:rsid w:val="0002053F"/>
    <w:rsid w:val="0002595F"/>
    <w:rsid w:val="00026622"/>
    <w:rsid w:val="00027DDF"/>
    <w:rsid w:val="0003658C"/>
    <w:rsid w:val="00041098"/>
    <w:rsid w:val="00041F93"/>
    <w:rsid w:val="00046038"/>
    <w:rsid w:val="00046809"/>
    <w:rsid w:val="00046BC9"/>
    <w:rsid w:val="00047064"/>
    <w:rsid w:val="0005078C"/>
    <w:rsid w:val="00050E7A"/>
    <w:rsid w:val="00054B01"/>
    <w:rsid w:val="00054B60"/>
    <w:rsid w:val="00061509"/>
    <w:rsid w:val="00062BDC"/>
    <w:rsid w:val="00063570"/>
    <w:rsid w:val="00063C40"/>
    <w:rsid w:val="00066CDA"/>
    <w:rsid w:val="00067903"/>
    <w:rsid w:val="00072C84"/>
    <w:rsid w:val="0007475A"/>
    <w:rsid w:val="00077D4D"/>
    <w:rsid w:val="000824E0"/>
    <w:rsid w:val="000872D1"/>
    <w:rsid w:val="00090D95"/>
    <w:rsid w:val="000919D2"/>
    <w:rsid w:val="000920B2"/>
    <w:rsid w:val="00093B19"/>
    <w:rsid w:val="00094C7B"/>
    <w:rsid w:val="00095088"/>
    <w:rsid w:val="0009643E"/>
    <w:rsid w:val="00097606"/>
    <w:rsid w:val="000977D4"/>
    <w:rsid w:val="000A2612"/>
    <w:rsid w:val="000A2F64"/>
    <w:rsid w:val="000A7355"/>
    <w:rsid w:val="000B0E52"/>
    <w:rsid w:val="000B3D08"/>
    <w:rsid w:val="000B4EBC"/>
    <w:rsid w:val="000B51E0"/>
    <w:rsid w:val="000B6088"/>
    <w:rsid w:val="000C0120"/>
    <w:rsid w:val="000C14C7"/>
    <w:rsid w:val="000C188E"/>
    <w:rsid w:val="000C31AB"/>
    <w:rsid w:val="000C3619"/>
    <w:rsid w:val="000C5883"/>
    <w:rsid w:val="000C6EB1"/>
    <w:rsid w:val="000D0AE0"/>
    <w:rsid w:val="000D191B"/>
    <w:rsid w:val="000D1DE1"/>
    <w:rsid w:val="000D38C4"/>
    <w:rsid w:val="000D4E23"/>
    <w:rsid w:val="000D4F3E"/>
    <w:rsid w:val="000D677A"/>
    <w:rsid w:val="000E0A36"/>
    <w:rsid w:val="000E3477"/>
    <w:rsid w:val="000E351D"/>
    <w:rsid w:val="000E3AD5"/>
    <w:rsid w:val="000E6683"/>
    <w:rsid w:val="000E6A4A"/>
    <w:rsid w:val="000F0D20"/>
    <w:rsid w:val="000F3659"/>
    <w:rsid w:val="000F46B3"/>
    <w:rsid w:val="00102B26"/>
    <w:rsid w:val="00107F50"/>
    <w:rsid w:val="00111168"/>
    <w:rsid w:val="0011270D"/>
    <w:rsid w:val="00113696"/>
    <w:rsid w:val="00116BB6"/>
    <w:rsid w:val="001170E9"/>
    <w:rsid w:val="00117110"/>
    <w:rsid w:val="00121733"/>
    <w:rsid w:val="00125058"/>
    <w:rsid w:val="00133544"/>
    <w:rsid w:val="0013516F"/>
    <w:rsid w:val="001409F8"/>
    <w:rsid w:val="0014429B"/>
    <w:rsid w:val="001453B3"/>
    <w:rsid w:val="00147467"/>
    <w:rsid w:val="00147883"/>
    <w:rsid w:val="00150C43"/>
    <w:rsid w:val="00152393"/>
    <w:rsid w:val="0015352E"/>
    <w:rsid w:val="00154213"/>
    <w:rsid w:val="00154A04"/>
    <w:rsid w:val="00155205"/>
    <w:rsid w:val="00156352"/>
    <w:rsid w:val="00156950"/>
    <w:rsid w:val="0016214B"/>
    <w:rsid w:val="001649F7"/>
    <w:rsid w:val="00164CD1"/>
    <w:rsid w:val="00167E06"/>
    <w:rsid w:val="0017058F"/>
    <w:rsid w:val="001762E9"/>
    <w:rsid w:val="00180F8A"/>
    <w:rsid w:val="00184C10"/>
    <w:rsid w:val="00195971"/>
    <w:rsid w:val="001A3430"/>
    <w:rsid w:val="001A4BB7"/>
    <w:rsid w:val="001B0A20"/>
    <w:rsid w:val="001B66FE"/>
    <w:rsid w:val="001B7656"/>
    <w:rsid w:val="001B7C30"/>
    <w:rsid w:val="001C237B"/>
    <w:rsid w:val="001C5836"/>
    <w:rsid w:val="001D163F"/>
    <w:rsid w:val="001D1787"/>
    <w:rsid w:val="001D360B"/>
    <w:rsid w:val="001D4194"/>
    <w:rsid w:val="001D5E3A"/>
    <w:rsid w:val="001D5F4C"/>
    <w:rsid w:val="001D630F"/>
    <w:rsid w:val="001E06AD"/>
    <w:rsid w:val="001E0E51"/>
    <w:rsid w:val="001E198F"/>
    <w:rsid w:val="001E3C9C"/>
    <w:rsid w:val="001E7F84"/>
    <w:rsid w:val="001F1717"/>
    <w:rsid w:val="001F3102"/>
    <w:rsid w:val="001F46B2"/>
    <w:rsid w:val="001F4AF7"/>
    <w:rsid w:val="001F54B9"/>
    <w:rsid w:val="0020139B"/>
    <w:rsid w:val="00202B26"/>
    <w:rsid w:val="00203E3A"/>
    <w:rsid w:val="00207749"/>
    <w:rsid w:val="00210F35"/>
    <w:rsid w:val="00215BD2"/>
    <w:rsid w:val="00216042"/>
    <w:rsid w:val="002208E3"/>
    <w:rsid w:val="002248DC"/>
    <w:rsid w:val="00224CA7"/>
    <w:rsid w:val="00225386"/>
    <w:rsid w:val="00227B08"/>
    <w:rsid w:val="002336FC"/>
    <w:rsid w:val="00233AEC"/>
    <w:rsid w:val="00233D34"/>
    <w:rsid w:val="00234934"/>
    <w:rsid w:val="00235751"/>
    <w:rsid w:val="00236BAD"/>
    <w:rsid w:val="00240156"/>
    <w:rsid w:val="00240417"/>
    <w:rsid w:val="00240FCA"/>
    <w:rsid w:val="00241A39"/>
    <w:rsid w:val="00241B73"/>
    <w:rsid w:val="00242BFF"/>
    <w:rsid w:val="00244F18"/>
    <w:rsid w:val="00246C76"/>
    <w:rsid w:val="00247004"/>
    <w:rsid w:val="00247C53"/>
    <w:rsid w:val="002508E4"/>
    <w:rsid w:val="00250B26"/>
    <w:rsid w:val="002518AF"/>
    <w:rsid w:val="00253B8E"/>
    <w:rsid w:val="00254CD6"/>
    <w:rsid w:val="00260C2E"/>
    <w:rsid w:val="0026333A"/>
    <w:rsid w:val="00271B82"/>
    <w:rsid w:val="00271F28"/>
    <w:rsid w:val="00274C14"/>
    <w:rsid w:val="00275F2D"/>
    <w:rsid w:val="002761C8"/>
    <w:rsid w:val="00280579"/>
    <w:rsid w:val="00281CF6"/>
    <w:rsid w:val="002827A1"/>
    <w:rsid w:val="00282FFD"/>
    <w:rsid w:val="0028456D"/>
    <w:rsid w:val="002845B8"/>
    <w:rsid w:val="0029696F"/>
    <w:rsid w:val="002A037C"/>
    <w:rsid w:val="002A1B4A"/>
    <w:rsid w:val="002A229C"/>
    <w:rsid w:val="002B00BC"/>
    <w:rsid w:val="002B05EB"/>
    <w:rsid w:val="002B2875"/>
    <w:rsid w:val="002B31D3"/>
    <w:rsid w:val="002B55A4"/>
    <w:rsid w:val="002B60D1"/>
    <w:rsid w:val="002B7A14"/>
    <w:rsid w:val="002C28EB"/>
    <w:rsid w:val="002C3AA9"/>
    <w:rsid w:val="002C497A"/>
    <w:rsid w:val="002C59B7"/>
    <w:rsid w:val="002C6751"/>
    <w:rsid w:val="002D4595"/>
    <w:rsid w:val="002D7727"/>
    <w:rsid w:val="002E56EA"/>
    <w:rsid w:val="002E728B"/>
    <w:rsid w:val="002F1724"/>
    <w:rsid w:val="002F2AEF"/>
    <w:rsid w:val="002F511D"/>
    <w:rsid w:val="002F5E81"/>
    <w:rsid w:val="003008D9"/>
    <w:rsid w:val="003010AB"/>
    <w:rsid w:val="00302841"/>
    <w:rsid w:val="0030338F"/>
    <w:rsid w:val="00304AC8"/>
    <w:rsid w:val="0030668F"/>
    <w:rsid w:val="00311E82"/>
    <w:rsid w:val="003150D1"/>
    <w:rsid w:val="003159CD"/>
    <w:rsid w:val="00317A89"/>
    <w:rsid w:val="00317D44"/>
    <w:rsid w:val="00317E3E"/>
    <w:rsid w:val="00320CA4"/>
    <w:rsid w:val="00321B2B"/>
    <w:rsid w:val="00321DBD"/>
    <w:rsid w:val="003221A8"/>
    <w:rsid w:val="00325B73"/>
    <w:rsid w:val="00325D5E"/>
    <w:rsid w:val="00326164"/>
    <w:rsid w:val="00326632"/>
    <w:rsid w:val="003309B3"/>
    <w:rsid w:val="00333A1E"/>
    <w:rsid w:val="00334516"/>
    <w:rsid w:val="00335A57"/>
    <w:rsid w:val="003413B6"/>
    <w:rsid w:val="00342C63"/>
    <w:rsid w:val="0034380A"/>
    <w:rsid w:val="0034383F"/>
    <w:rsid w:val="0034568B"/>
    <w:rsid w:val="003470C2"/>
    <w:rsid w:val="0035175A"/>
    <w:rsid w:val="003517D4"/>
    <w:rsid w:val="00353316"/>
    <w:rsid w:val="00353CF7"/>
    <w:rsid w:val="00354928"/>
    <w:rsid w:val="00355960"/>
    <w:rsid w:val="00360F0B"/>
    <w:rsid w:val="003633D6"/>
    <w:rsid w:val="00365BD9"/>
    <w:rsid w:val="003717B9"/>
    <w:rsid w:val="00371D5D"/>
    <w:rsid w:val="00371E16"/>
    <w:rsid w:val="003722D3"/>
    <w:rsid w:val="003743A3"/>
    <w:rsid w:val="0037479B"/>
    <w:rsid w:val="00374854"/>
    <w:rsid w:val="00375DB5"/>
    <w:rsid w:val="00376B5B"/>
    <w:rsid w:val="0037719B"/>
    <w:rsid w:val="00377E84"/>
    <w:rsid w:val="00380EB5"/>
    <w:rsid w:val="00384F10"/>
    <w:rsid w:val="00384F6A"/>
    <w:rsid w:val="003852A0"/>
    <w:rsid w:val="00385B9E"/>
    <w:rsid w:val="00386A61"/>
    <w:rsid w:val="00386CC6"/>
    <w:rsid w:val="003910BF"/>
    <w:rsid w:val="00391D5D"/>
    <w:rsid w:val="00391DA0"/>
    <w:rsid w:val="00394C91"/>
    <w:rsid w:val="00395934"/>
    <w:rsid w:val="003961A0"/>
    <w:rsid w:val="003A1418"/>
    <w:rsid w:val="003A6314"/>
    <w:rsid w:val="003B45B9"/>
    <w:rsid w:val="003B4C39"/>
    <w:rsid w:val="003B64ED"/>
    <w:rsid w:val="003C117D"/>
    <w:rsid w:val="003C1BF0"/>
    <w:rsid w:val="003C1E83"/>
    <w:rsid w:val="003C2CFB"/>
    <w:rsid w:val="003C3D0E"/>
    <w:rsid w:val="003C4FF2"/>
    <w:rsid w:val="003C5A45"/>
    <w:rsid w:val="003D1BA5"/>
    <w:rsid w:val="003D4794"/>
    <w:rsid w:val="003E2C24"/>
    <w:rsid w:val="003E3A48"/>
    <w:rsid w:val="003E451C"/>
    <w:rsid w:val="003E5CE3"/>
    <w:rsid w:val="003F0C1D"/>
    <w:rsid w:val="003F0C5B"/>
    <w:rsid w:val="003F10BE"/>
    <w:rsid w:val="003F374B"/>
    <w:rsid w:val="00400678"/>
    <w:rsid w:val="00400BE5"/>
    <w:rsid w:val="00402E1E"/>
    <w:rsid w:val="00404985"/>
    <w:rsid w:val="0040534B"/>
    <w:rsid w:val="00405BEA"/>
    <w:rsid w:val="004066D9"/>
    <w:rsid w:val="004066EC"/>
    <w:rsid w:val="00411D24"/>
    <w:rsid w:val="00413565"/>
    <w:rsid w:val="004144AF"/>
    <w:rsid w:val="0042213E"/>
    <w:rsid w:val="0042262E"/>
    <w:rsid w:val="00423888"/>
    <w:rsid w:val="00424884"/>
    <w:rsid w:val="00424917"/>
    <w:rsid w:val="00424BC2"/>
    <w:rsid w:val="00425996"/>
    <w:rsid w:val="00425E44"/>
    <w:rsid w:val="0043123D"/>
    <w:rsid w:val="00431B00"/>
    <w:rsid w:val="004344BF"/>
    <w:rsid w:val="004357C5"/>
    <w:rsid w:val="00435FE9"/>
    <w:rsid w:val="00436873"/>
    <w:rsid w:val="00437132"/>
    <w:rsid w:val="00440972"/>
    <w:rsid w:val="0045111A"/>
    <w:rsid w:val="004548B3"/>
    <w:rsid w:val="00454F8B"/>
    <w:rsid w:val="004557B2"/>
    <w:rsid w:val="00456426"/>
    <w:rsid w:val="00462A48"/>
    <w:rsid w:val="00462AD6"/>
    <w:rsid w:val="00466EB1"/>
    <w:rsid w:val="0047407D"/>
    <w:rsid w:val="0047540E"/>
    <w:rsid w:val="00476B7D"/>
    <w:rsid w:val="00480C7A"/>
    <w:rsid w:val="00483A5B"/>
    <w:rsid w:val="00486E8F"/>
    <w:rsid w:val="00487CD4"/>
    <w:rsid w:val="004943CD"/>
    <w:rsid w:val="0049474E"/>
    <w:rsid w:val="00497240"/>
    <w:rsid w:val="004A20B9"/>
    <w:rsid w:val="004A32E8"/>
    <w:rsid w:val="004A408F"/>
    <w:rsid w:val="004B2376"/>
    <w:rsid w:val="004B42B4"/>
    <w:rsid w:val="004B4A2C"/>
    <w:rsid w:val="004B7F05"/>
    <w:rsid w:val="004C0489"/>
    <w:rsid w:val="004D154A"/>
    <w:rsid w:val="004D17F6"/>
    <w:rsid w:val="004D1E09"/>
    <w:rsid w:val="004D31C7"/>
    <w:rsid w:val="004D4769"/>
    <w:rsid w:val="004D6C29"/>
    <w:rsid w:val="004E530B"/>
    <w:rsid w:val="004F1543"/>
    <w:rsid w:val="004F19E6"/>
    <w:rsid w:val="004F1E61"/>
    <w:rsid w:val="004F4192"/>
    <w:rsid w:val="004F693F"/>
    <w:rsid w:val="00500F74"/>
    <w:rsid w:val="005036BD"/>
    <w:rsid w:val="00507AB7"/>
    <w:rsid w:val="00512641"/>
    <w:rsid w:val="00513942"/>
    <w:rsid w:val="00513B7A"/>
    <w:rsid w:val="005149BF"/>
    <w:rsid w:val="00520505"/>
    <w:rsid w:val="00522B22"/>
    <w:rsid w:val="00523EEB"/>
    <w:rsid w:val="005243A5"/>
    <w:rsid w:val="0052499D"/>
    <w:rsid w:val="0052658B"/>
    <w:rsid w:val="00526B4A"/>
    <w:rsid w:val="00526FB9"/>
    <w:rsid w:val="00527867"/>
    <w:rsid w:val="005326C8"/>
    <w:rsid w:val="005345C7"/>
    <w:rsid w:val="00534828"/>
    <w:rsid w:val="00540202"/>
    <w:rsid w:val="00541D58"/>
    <w:rsid w:val="00542316"/>
    <w:rsid w:val="00551ED5"/>
    <w:rsid w:val="0055264C"/>
    <w:rsid w:val="005637F9"/>
    <w:rsid w:val="00567316"/>
    <w:rsid w:val="005727B4"/>
    <w:rsid w:val="00573C87"/>
    <w:rsid w:val="00574761"/>
    <w:rsid w:val="005770F0"/>
    <w:rsid w:val="00577508"/>
    <w:rsid w:val="00577D01"/>
    <w:rsid w:val="00581ADB"/>
    <w:rsid w:val="00584D1C"/>
    <w:rsid w:val="00587847"/>
    <w:rsid w:val="0059423F"/>
    <w:rsid w:val="005965D7"/>
    <w:rsid w:val="0059790C"/>
    <w:rsid w:val="00597D79"/>
    <w:rsid w:val="005A080D"/>
    <w:rsid w:val="005A1601"/>
    <w:rsid w:val="005A162D"/>
    <w:rsid w:val="005A21B2"/>
    <w:rsid w:val="005A2F1E"/>
    <w:rsid w:val="005A3F61"/>
    <w:rsid w:val="005A5B5E"/>
    <w:rsid w:val="005B1F9A"/>
    <w:rsid w:val="005B449C"/>
    <w:rsid w:val="005B478D"/>
    <w:rsid w:val="005B757E"/>
    <w:rsid w:val="005C06A7"/>
    <w:rsid w:val="005C2705"/>
    <w:rsid w:val="005C34A0"/>
    <w:rsid w:val="005C41E6"/>
    <w:rsid w:val="005C57A2"/>
    <w:rsid w:val="005D1327"/>
    <w:rsid w:val="005D210E"/>
    <w:rsid w:val="005D4712"/>
    <w:rsid w:val="005D4F0A"/>
    <w:rsid w:val="005D70C8"/>
    <w:rsid w:val="005D7A96"/>
    <w:rsid w:val="005E4CDB"/>
    <w:rsid w:val="005F372A"/>
    <w:rsid w:val="005F5901"/>
    <w:rsid w:val="005F5B2B"/>
    <w:rsid w:val="005F5CD6"/>
    <w:rsid w:val="005F5D82"/>
    <w:rsid w:val="005F710A"/>
    <w:rsid w:val="005F7754"/>
    <w:rsid w:val="005F77D4"/>
    <w:rsid w:val="005F78E0"/>
    <w:rsid w:val="00601A07"/>
    <w:rsid w:val="00602DEA"/>
    <w:rsid w:val="006039D5"/>
    <w:rsid w:val="006041BA"/>
    <w:rsid w:val="00605021"/>
    <w:rsid w:val="006104A8"/>
    <w:rsid w:val="00613172"/>
    <w:rsid w:val="00614C01"/>
    <w:rsid w:val="00616276"/>
    <w:rsid w:val="006162CD"/>
    <w:rsid w:val="006167B0"/>
    <w:rsid w:val="00622855"/>
    <w:rsid w:val="006245A4"/>
    <w:rsid w:val="00624C18"/>
    <w:rsid w:val="00625068"/>
    <w:rsid w:val="00626A5D"/>
    <w:rsid w:val="00627E9C"/>
    <w:rsid w:val="0063018F"/>
    <w:rsid w:val="00631CF3"/>
    <w:rsid w:val="00632561"/>
    <w:rsid w:val="00634BA4"/>
    <w:rsid w:val="00635525"/>
    <w:rsid w:val="0063641E"/>
    <w:rsid w:val="0063659B"/>
    <w:rsid w:val="00641777"/>
    <w:rsid w:val="00645E04"/>
    <w:rsid w:val="0064755F"/>
    <w:rsid w:val="00651963"/>
    <w:rsid w:val="0065230B"/>
    <w:rsid w:val="00660F24"/>
    <w:rsid w:val="00661DAC"/>
    <w:rsid w:val="006648D7"/>
    <w:rsid w:val="00665C75"/>
    <w:rsid w:val="0066695C"/>
    <w:rsid w:val="00667A6F"/>
    <w:rsid w:val="00667BB0"/>
    <w:rsid w:val="006701E3"/>
    <w:rsid w:val="00672B6C"/>
    <w:rsid w:val="00674404"/>
    <w:rsid w:val="00675B2E"/>
    <w:rsid w:val="006765EC"/>
    <w:rsid w:val="00677713"/>
    <w:rsid w:val="00677FF8"/>
    <w:rsid w:val="00681341"/>
    <w:rsid w:val="00684BED"/>
    <w:rsid w:val="00685181"/>
    <w:rsid w:val="00687384"/>
    <w:rsid w:val="00697BAA"/>
    <w:rsid w:val="006A32D5"/>
    <w:rsid w:val="006A3DA8"/>
    <w:rsid w:val="006A749D"/>
    <w:rsid w:val="006A7CDC"/>
    <w:rsid w:val="006A7F60"/>
    <w:rsid w:val="006B08BD"/>
    <w:rsid w:val="006B1F90"/>
    <w:rsid w:val="006B2410"/>
    <w:rsid w:val="006B2411"/>
    <w:rsid w:val="006B474B"/>
    <w:rsid w:val="006C0692"/>
    <w:rsid w:val="006C1AB5"/>
    <w:rsid w:val="006C24A8"/>
    <w:rsid w:val="006C4034"/>
    <w:rsid w:val="006C72C5"/>
    <w:rsid w:val="006C7B2D"/>
    <w:rsid w:val="006D5BE6"/>
    <w:rsid w:val="006E072E"/>
    <w:rsid w:val="006E2355"/>
    <w:rsid w:val="006E4454"/>
    <w:rsid w:val="006E72D1"/>
    <w:rsid w:val="006E7FD8"/>
    <w:rsid w:val="006F25A9"/>
    <w:rsid w:val="006F25EA"/>
    <w:rsid w:val="006F4D83"/>
    <w:rsid w:val="0070285E"/>
    <w:rsid w:val="0070518A"/>
    <w:rsid w:val="0070768A"/>
    <w:rsid w:val="00707C98"/>
    <w:rsid w:val="00711D2F"/>
    <w:rsid w:val="00712BBB"/>
    <w:rsid w:val="00714912"/>
    <w:rsid w:val="00717530"/>
    <w:rsid w:val="007228F8"/>
    <w:rsid w:val="00723D5A"/>
    <w:rsid w:val="00724143"/>
    <w:rsid w:val="007253BE"/>
    <w:rsid w:val="0072587D"/>
    <w:rsid w:val="00725BB5"/>
    <w:rsid w:val="00725C6D"/>
    <w:rsid w:val="0073030C"/>
    <w:rsid w:val="00730EE3"/>
    <w:rsid w:val="00731201"/>
    <w:rsid w:val="00732456"/>
    <w:rsid w:val="007324C3"/>
    <w:rsid w:val="007325AF"/>
    <w:rsid w:val="00733DE3"/>
    <w:rsid w:val="00735D23"/>
    <w:rsid w:val="007360EF"/>
    <w:rsid w:val="00736505"/>
    <w:rsid w:val="007378ED"/>
    <w:rsid w:val="00741C64"/>
    <w:rsid w:val="007430B0"/>
    <w:rsid w:val="007469A5"/>
    <w:rsid w:val="00750970"/>
    <w:rsid w:val="00751C57"/>
    <w:rsid w:val="00754230"/>
    <w:rsid w:val="00754433"/>
    <w:rsid w:val="00761EF7"/>
    <w:rsid w:val="00762778"/>
    <w:rsid w:val="007631A2"/>
    <w:rsid w:val="00763329"/>
    <w:rsid w:val="0076384A"/>
    <w:rsid w:val="007677F4"/>
    <w:rsid w:val="00771680"/>
    <w:rsid w:val="00771D4E"/>
    <w:rsid w:val="00772464"/>
    <w:rsid w:val="00773845"/>
    <w:rsid w:val="00773D4A"/>
    <w:rsid w:val="0078077C"/>
    <w:rsid w:val="00780E6D"/>
    <w:rsid w:val="0078145E"/>
    <w:rsid w:val="007819BE"/>
    <w:rsid w:val="00783699"/>
    <w:rsid w:val="00783C6A"/>
    <w:rsid w:val="00786B30"/>
    <w:rsid w:val="0078703E"/>
    <w:rsid w:val="00787952"/>
    <w:rsid w:val="00790A83"/>
    <w:rsid w:val="00790B8D"/>
    <w:rsid w:val="00790EA1"/>
    <w:rsid w:val="007911CC"/>
    <w:rsid w:val="00791B86"/>
    <w:rsid w:val="0079238D"/>
    <w:rsid w:val="00793BDA"/>
    <w:rsid w:val="007957FD"/>
    <w:rsid w:val="00795F51"/>
    <w:rsid w:val="0079633A"/>
    <w:rsid w:val="00797997"/>
    <w:rsid w:val="00797F48"/>
    <w:rsid w:val="007A0120"/>
    <w:rsid w:val="007A12BE"/>
    <w:rsid w:val="007A58DE"/>
    <w:rsid w:val="007B300A"/>
    <w:rsid w:val="007B3085"/>
    <w:rsid w:val="007B5A60"/>
    <w:rsid w:val="007B63D1"/>
    <w:rsid w:val="007B693E"/>
    <w:rsid w:val="007B717B"/>
    <w:rsid w:val="007B79E3"/>
    <w:rsid w:val="007C5067"/>
    <w:rsid w:val="007C5E7C"/>
    <w:rsid w:val="007C65A9"/>
    <w:rsid w:val="007C66A1"/>
    <w:rsid w:val="007C6DC6"/>
    <w:rsid w:val="007D4E16"/>
    <w:rsid w:val="007D68EB"/>
    <w:rsid w:val="007E2971"/>
    <w:rsid w:val="007E50B4"/>
    <w:rsid w:val="007E675C"/>
    <w:rsid w:val="007E7256"/>
    <w:rsid w:val="007E765D"/>
    <w:rsid w:val="007F0426"/>
    <w:rsid w:val="007F1358"/>
    <w:rsid w:val="007F5351"/>
    <w:rsid w:val="007F7AA6"/>
    <w:rsid w:val="00800F73"/>
    <w:rsid w:val="00802622"/>
    <w:rsid w:val="00803589"/>
    <w:rsid w:val="00804CA9"/>
    <w:rsid w:val="00804F70"/>
    <w:rsid w:val="008058B6"/>
    <w:rsid w:val="0080633C"/>
    <w:rsid w:val="00807808"/>
    <w:rsid w:val="00810516"/>
    <w:rsid w:val="008159F0"/>
    <w:rsid w:val="00816733"/>
    <w:rsid w:val="00820323"/>
    <w:rsid w:val="008253FF"/>
    <w:rsid w:val="00832442"/>
    <w:rsid w:val="00832BD8"/>
    <w:rsid w:val="008334FE"/>
    <w:rsid w:val="008341CB"/>
    <w:rsid w:val="00835330"/>
    <w:rsid w:val="00837C6B"/>
    <w:rsid w:val="00840C79"/>
    <w:rsid w:val="00841E7D"/>
    <w:rsid w:val="00841ECD"/>
    <w:rsid w:val="008424B6"/>
    <w:rsid w:val="008427CE"/>
    <w:rsid w:val="0084322E"/>
    <w:rsid w:val="008439D3"/>
    <w:rsid w:val="00845129"/>
    <w:rsid w:val="00845C2B"/>
    <w:rsid w:val="00850BF0"/>
    <w:rsid w:val="00853076"/>
    <w:rsid w:val="00855AC7"/>
    <w:rsid w:val="008658C3"/>
    <w:rsid w:val="00871204"/>
    <w:rsid w:val="00873144"/>
    <w:rsid w:val="008763BC"/>
    <w:rsid w:val="00880DF6"/>
    <w:rsid w:val="00880FF6"/>
    <w:rsid w:val="0088535F"/>
    <w:rsid w:val="00885424"/>
    <w:rsid w:val="00887006"/>
    <w:rsid w:val="00891691"/>
    <w:rsid w:val="00891F55"/>
    <w:rsid w:val="0089211C"/>
    <w:rsid w:val="00896F5D"/>
    <w:rsid w:val="00897157"/>
    <w:rsid w:val="008972C6"/>
    <w:rsid w:val="0089783A"/>
    <w:rsid w:val="008978E3"/>
    <w:rsid w:val="008A1D6B"/>
    <w:rsid w:val="008A23ED"/>
    <w:rsid w:val="008A33C6"/>
    <w:rsid w:val="008A46A0"/>
    <w:rsid w:val="008B0CE8"/>
    <w:rsid w:val="008B1C14"/>
    <w:rsid w:val="008B716C"/>
    <w:rsid w:val="008B7518"/>
    <w:rsid w:val="008C0AE8"/>
    <w:rsid w:val="008C2F87"/>
    <w:rsid w:val="008D2325"/>
    <w:rsid w:val="008D31F2"/>
    <w:rsid w:val="008D3436"/>
    <w:rsid w:val="008D7175"/>
    <w:rsid w:val="008D7BC8"/>
    <w:rsid w:val="008E0B49"/>
    <w:rsid w:val="008E0DF1"/>
    <w:rsid w:val="008E1EBE"/>
    <w:rsid w:val="008E21AB"/>
    <w:rsid w:val="008E2EBE"/>
    <w:rsid w:val="008F1DB4"/>
    <w:rsid w:val="008F271A"/>
    <w:rsid w:val="008F4903"/>
    <w:rsid w:val="008F7D1A"/>
    <w:rsid w:val="00901B0E"/>
    <w:rsid w:val="009026A7"/>
    <w:rsid w:val="009042C8"/>
    <w:rsid w:val="0090452D"/>
    <w:rsid w:val="00905357"/>
    <w:rsid w:val="00907F88"/>
    <w:rsid w:val="00912759"/>
    <w:rsid w:val="00912A4B"/>
    <w:rsid w:val="0091334E"/>
    <w:rsid w:val="00914264"/>
    <w:rsid w:val="009168B6"/>
    <w:rsid w:val="009172F6"/>
    <w:rsid w:val="00921368"/>
    <w:rsid w:val="00921566"/>
    <w:rsid w:val="00925E9D"/>
    <w:rsid w:val="00926964"/>
    <w:rsid w:val="00927630"/>
    <w:rsid w:val="009300DE"/>
    <w:rsid w:val="009302F8"/>
    <w:rsid w:val="00931B6B"/>
    <w:rsid w:val="009325BA"/>
    <w:rsid w:val="00932DA7"/>
    <w:rsid w:val="009336CE"/>
    <w:rsid w:val="009373D2"/>
    <w:rsid w:val="00943ED7"/>
    <w:rsid w:val="00944E8D"/>
    <w:rsid w:val="00945B75"/>
    <w:rsid w:val="009507B2"/>
    <w:rsid w:val="0095101E"/>
    <w:rsid w:val="00952CD7"/>
    <w:rsid w:val="009534D5"/>
    <w:rsid w:val="0095586A"/>
    <w:rsid w:val="009558D8"/>
    <w:rsid w:val="00956680"/>
    <w:rsid w:val="0096032E"/>
    <w:rsid w:val="009618AE"/>
    <w:rsid w:val="00964B76"/>
    <w:rsid w:val="009678AA"/>
    <w:rsid w:val="00967A5C"/>
    <w:rsid w:val="009732F0"/>
    <w:rsid w:val="009733F4"/>
    <w:rsid w:val="0097797F"/>
    <w:rsid w:val="00977A64"/>
    <w:rsid w:val="009827E9"/>
    <w:rsid w:val="0098780E"/>
    <w:rsid w:val="00987E82"/>
    <w:rsid w:val="009916D1"/>
    <w:rsid w:val="00992127"/>
    <w:rsid w:val="009A277A"/>
    <w:rsid w:val="009A57B0"/>
    <w:rsid w:val="009B084D"/>
    <w:rsid w:val="009B1020"/>
    <w:rsid w:val="009B3DD2"/>
    <w:rsid w:val="009B4635"/>
    <w:rsid w:val="009B4682"/>
    <w:rsid w:val="009B5D1A"/>
    <w:rsid w:val="009B724F"/>
    <w:rsid w:val="009B74D8"/>
    <w:rsid w:val="009C0DA6"/>
    <w:rsid w:val="009C14F6"/>
    <w:rsid w:val="009C2971"/>
    <w:rsid w:val="009C2990"/>
    <w:rsid w:val="009C35D9"/>
    <w:rsid w:val="009C43D0"/>
    <w:rsid w:val="009C456C"/>
    <w:rsid w:val="009C78ED"/>
    <w:rsid w:val="009C7E78"/>
    <w:rsid w:val="009D186C"/>
    <w:rsid w:val="009D43F4"/>
    <w:rsid w:val="009D4595"/>
    <w:rsid w:val="009D50CD"/>
    <w:rsid w:val="009E022D"/>
    <w:rsid w:val="009E037B"/>
    <w:rsid w:val="009E5C24"/>
    <w:rsid w:val="009F0086"/>
    <w:rsid w:val="009F0CC3"/>
    <w:rsid w:val="009F0DD7"/>
    <w:rsid w:val="009F34F5"/>
    <w:rsid w:val="009F3875"/>
    <w:rsid w:val="009F46AE"/>
    <w:rsid w:val="009F5D09"/>
    <w:rsid w:val="009F7E37"/>
    <w:rsid w:val="00A010FF"/>
    <w:rsid w:val="00A01FBB"/>
    <w:rsid w:val="00A03C3C"/>
    <w:rsid w:val="00A0444B"/>
    <w:rsid w:val="00A072B3"/>
    <w:rsid w:val="00A1080D"/>
    <w:rsid w:val="00A11F9C"/>
    <w:rsid w:val="00A145B6"/>
    <w:rsid w:val="00A1576B"/>
    <w:rsid w:val="00A16F8B"/>
    <w:rsid w:val="00A17A58"/>
    <w:rsid w:val="00A22F51"/>
    <w:rsid w:val="00A231E5"/>
    <w:rsid w:val="00A23903"/>
    <w:rsid w:val="00A258E5"/>
    <w:rsid w:val="00A27240"/>
    <w:rsid w:val="00A3057A"/>
    <w:rsid w:val="00A312BF"/>
    <w:rsid w:val="00A31491"/>
    <w:rsid w:val="00A32F5B"/>
    <w:rsid w:val="00A33AA3"/>
    <w:rsid w:val="00A34C4F"/>
    <w:rsid w:val="00A3635E"/>
    <w:rsid w:val="00A3773A"/>
    <w:rsid w:val="00A43E3C"/>
    <w:rsid w:val="00A441C5"/>
    <w:rsid w:val="00A44396"/>
    <w:rsid w:val="00A45E81"/>
    <w:rsid w:val="00A46682"/>
    <w:rsid w:val="00A53B87"/>
    <w:rsid w:val="00A54929"/>
    <w:rsid w:val="00A561FD"/>
    <w:rsid w:val="00A5685F"/>
    <w:rsid w:val="00A646DD"/>
    <w:rsid w:val="00A66BFB"/>
    <w:rsid w:val="00A70389"/>
    <w:rsid w:val="00A70670"/>
    <w:rsid w:val="00A71B8D"/>
    <w:rsid w:val="00A7445B"/>
    <w:rsid w:val="00A753DD"/>
    <w:rsid w:val="00A75EF6"/>
    <w:rsid w:val="00A81144"/>
    <w:rsid w:val="00A813B7"/>
    <w:rsid w:val="00A81B65"/>
    <w:rsid w:val="00A84E30"/>
    <w:rsid w:val="00A8534F"/>
    <w:rsid w:val="00A8774C"/>
    <w:rsid w:val="00A910C5"/>
    <w:rsid w:val="00A911D2"/>
    <w:rsid w:val="00A9199A"/>
    <w:rsid w:val="00A9386A"/>
    <w:rsid w:val="00A948A5"/>
    <w:rsid w:val="00A97305"/>
    <w:rsid w:val="00A9768B"/>
    <w:rsid w:val="00AA00D5"/>
    <w:rsid w:val="00AA495C"/>
    <w:rsid w:val="00AA5B32"/>
    <w:rsid w:val="00AA652D"/>
    <w:rsid w:val="00AB0D42"/>
    <w:rsid w:val="00AB1D16"/>
    <w:rsid w:val="00AB2832"/>
    <w:rsid w:val="00AB2C96"/>
    <w:rsid w:val="00AB3ECA"/>
    <w:rsid w:val="00AB4996"/>
    <w:rsid w:val="00AB6003"/>
    <w:rsid w:val="00AC1332"/>
    <w:rsid w:val="00AC22DD"/>
    <w:rsid w:val="00AC23BC"/>
    <w:rsid w:val="00AC3153"/>
    <w:rsid w:val="00AC6399"/>
    <w:rsid w:val="00AC67E2"/>
    <w:rsid w:val="00AC7F48"/>
    <w:rsid w:val="00AD1828"/>
    <w:rsid w:val="00AD2D79"/>
    <w:rsid w:val="00AD66C7"/>
    <w:rsid w:val="00AD79B5"/>
    <w:rsid w:val="00AE13D8"/>
    <w:rsid w:val="00AE2D6B"/>
    <w:rsid w:val="00AE62EA"/>
    <w:rsid w:val="00AF1444"/>
    <w:rsid w:val="00AF50D7"/>
    <w:rsid w:val="00AF5F30"/>
    <w:rsid w:val="00B0033B"/>
    <w:rsid w:val="00B00DA5"/>
    <w:rsid w:val="00B01F7E"/>
    <w:rsid w:val="00B03546"/>
    <w:rsid w:val="00B048A7"/>
    <w:rsid w:val="00B05B3A"/>
    <w:rsid w:val="00B05F89"/>
    <w:rsid w:val="00B06016"/>
    <w:rsid w:val="00B06E27"/>
    <w:rsid w:val="00B1032C"/>
    <w:rsid w:val="00B115EB"/>
    <w:rsid w:val="00B11AA2"/>
    <w:rsid w:val="00B13845"/>
    <w:rsid w:val="00B15394"/>
    <w:rsid w:val="00B1540A"/>
    <w:rsid w:val="00B25355"/>
    <w:rsid w:val="00B255FB"/>
    <w:rsid w:val="00B26DA4"/>
    <w:rsid w:val="00B27F3A"/>
    <w:rsid w:val="00B31100"/>
    <w:rsid w:val="00B35599"/>
    <w:rsid w:val="00B3676D"/>
    <w:rsid w:val="00B3744B"/>
    <w:rsid w:val="00B378FA"/>
    <w:rsid w:val="00B42C9F"/>
    <w:rsid w:val="00B4557A"/>
    <w:rsid w:val="00B521C9"/>
    <w:rsid w:val="00B53534"/>
    <w:rsid w:val="00B546CB"/>
    <w:rsid w:val="00B56CBA"/>
    <w:rsid w:val="00B5723A"/>
    <w:rsid w:val="00B5796C"/>
    <w:rsid w:val="00B6148B"/>
    <w:rsid w:val="00B62FB8"/>
    <w:rsid w:val="00B6643C"/>
    <w:rsid w:val="00B66A5B"/>
    <w:rsid w:val="00B675BE"/>
    <w:rsid w:val="00B67FF9"/>
    <w:rsid w:val="00B7191B"/>
    <w:rsid w:val="00B73759"/>
    <w:rsid w:val="00B74CCA"/>
    <w:rsid w:val="00B768D2"/>
    <w:rsid w:val="00B769AE"/>
    <w:rsid w:val="00B84CEC"/>
    <w:rsid w:val="00B8597A"/>
    <w:rsid w:val="00B87A54"/>
    <w:rsid w:val="00B9219A"/>
    <w:rsid w:val="00B92F65"/>
    <w:rsid w:val="00B96258"/>
    <w:rsid w:val="00B965FB"/>
    <w:rsid w:val="00BA0A78"/>
    <w:rsid w:val="00BA3F4F"/>
    <w:rsid w:val="00BA5C38"/>
    <w:rsid w:val="00BA60EE"/>
    <w:rsid w:val="00BA62CB"/>
    <w:rsid w:val="00BA7F3F"/>
    <w:rsid w:val="00BB051E"/>
    <w:rsid w:val="00BB3B94"/>
    <w:rsid w:val="00BB3BD7"/>
    <w:rsid w:val="00BB48D6"/>
    <w:rsid w:val="00BB6D32"/>
    <w:rsid w:val="00BC01FE"/>
    <w:rsid w:val="00BC3F94"/>
    <w:rsid w:val="00BC53FF"/>
    <w:rsid w:val="00BC570B"/>
    <w:rsid w:val="00BC5DE4"/>
    <w:rsid w:val="00BC63B9"/>
    <w:rsid w:val="00BC7D72"/>
    <w:rsid w:val="00BD02C1"/>
    <w:rsid w:val="00BD0C70"/>
    <w:rsid w:val="00BD131A"/>
    <w:rsid w:val="00BD2016"/>
    <w:rsid w:val="00BD29C1"/>
    <w:rsid w:val="00BD3456"/>
    <w:rsid w:val="00BE0086"/>
    <w:rsid w:val="00BE0819"/>
    <w:rsid w:val="00BE5975"/>
    <w:rsid w:val="00BE618A"/>
    <w:rsid w:val="00BE667D"/>
    <w:rsid w:val="00BF120F"/>
    <w:rsid w:val="00BF224A"/>
    <w:rsid w:val="00BF3075"/>
    <w:rsid w:val="00BF3DA9"/>
    <w:rsid w:val="00BF6080"/>
    <w:rsid w:val="00BF779E"/>
    <w:rsid w:val="00BF7F8B"/>
    <w:rsid w:val="00C01B61"/>
    <w:rsid w:val="00C04FF2"/>
    <w:rsid w:val="00C05E6C"/>
    <w:rsid w:val="00C06223"/>
    <w:rsid w:val="00C072A4"/>
    <w:rsid w:val="00C15CBC"/>
    <w:rsid w:val="00C16864"/>
    <w:rsid w:val="00C20395"/>
    <w:rsid w:val="00C2094A"/>
    <w:rsid w:val="00C24501"/>
    <w:rsid w:val="00C30973"/>
    <w:rsid w:val="00C33ED1"/>
    <w:rsid w:val="00C35BE7"/>
    <w:rsid w:val="00C36A32"/>
    <w:rsid w:val="00C40A30"/>
    <w:rsid w:val="00C40B79"/>
    <w:rsid w:val="00C41050"/>
    <w:rsid w:val="00C41185"/>
    <w:rsid w:val="00C43F3B"/>
    <w:rsid w:val="00C443B4"/>
    <w:rsid w:val="00C446C7"/>
    <w:rsid w:val="00C46391"/>
    <w:rsid w:val="00C556F3"/>
    <w:rsid w:val="00C55DEC"/>
    <w:rsid w:val="00C567F4"/>
    <w:rsid w:val="00C64953"/>
    <w:rsid w:val="00C7089C"/>
    <w:rsid w:val="00C72249"/>
    <w:rsid w:val="00C73F2E"/>
    <w:rsid w:val="00C74891"/>
    <w:rsid w:val="00C753B2"/>
    <w:rsid w:val="00C76101"/>
    <w:rsid w:val="00C7638A"/>
    <w:rsid w:val="00C80901"/>
    <w:rsid w:val="00C82317"/>
    <w:rsid w:val="00C829C6"/>
    <w:rsid w:val="00C85176"/>
    <w:rsid w:val="00C920BC"/>
    <w:rsid w:val="00C95ABE"/>
    <w:rsid w:val="00C96278"/>
    <w:rsid w:val="00CA16BE"/>
    <w:rsid w:val="00CA3693"/>
    <w:rsid w:val="00CA5CAF"/>
    <w:rsid w:val="00CB162E"/>
    <w:rsid w:val="00CB6723"/>
    <w:rsid w:val="00CB69A6"/>
    <w:rsid w:val="00CB758A"/>
    <w:rsid w:val="00CB796B"/>
    <w:rsid w:val="00CC05AC"/>
    <w:rsid w:val="00CC2713"/>
    <w:rsid w:val="00CC2790"/>
    <w:rsid w:val="00CC2E92"/>
    <w:rsid w:val="00CC5D9C"/>
    <w:rsid w:val="00CC7943"/>
    <w:rsid w:val="00CC7BF8"/>
    <w:rsid w:val="00CD0758"/>
    <w:rsid w:val="00CD1E63"/>
    <w:rsid w:val="00CD2C09"/>
    <w:rsid w:val="00CD4B7B"/>
    <w:rsid w:val="00CD7A93"/>
    <w:rsid w:val="00CD7B22"/>
    <w:rsid w:val="00CD7D00"/>
    <w:rsid w:val="00CE2EBB"/>
    <w:rsid w:val="00CE6127"/>
    <w:rsid w:val="00CF05CD"/>
    <w:rsid w:val="00CF0FB0"/>
    <w:rsid w:val="00CF2CD8"/>
    <w:rsid w:val="00CF41AC"/>
    <w:rsid w:val="00CF65CA"/>
    <w:rsid w:val="00CF69AB"/>
    <w:rsid w:val="00CF6EE5"/>
    <w:rsid w:val="00CF7F72"/>
    <w:rsid w:val="00D00263"/>
    <w:rsid w:val="00D01621"/>
    <w:rsid w:val="00D0284B"/>
    <w:rsid w:val="00D058BF"/>
    <w:rsid w:val="00D07A5C"/>
    <w:rsid w:val="00D12DDA"/>
    <w:rsid w:val="00D13ECD"/>
    <w:rsid w:val="00D14716"/>
    <w:rsid w:val="00D1583E"/>
    <w:rsid w:val="00D17524"/>
    <w:rsid w:val="00D253DE"/>
    <w:rsid w:val="00D27708"/>
    <w:rsid w:val="00D34E0E"/>
    <w:rsid w:val="00D4010B"/>
    <w:rsid w:val="00D421A4"/>
    <w:rsid w:val="00D43268"/>
    <w:rsid w:val="00D43588"/>
    <w:rsid w:val="00D43E63"/>
    <w:rsid w:val="00D4418C"/>
    <w:rsid w:val="00D475B4"/>
    <w:rsid w:val="00D50565"/>
    <w:rsid w:val="00D52B98"/>
    <w:rsid w:val="00D5419A"/>
    <w:rsid w:val="00D569FC"/>
    <w:rsid w:val="00D60F00"/>
    <w:rsid w:val="00D61171"/>
    <w:rsid w:val="00D612DD"/>
    <w:rsid w:val="00D63424"/>
    <w:rsid w:val="00D67ED0"/>
    <w:rsid w:val="00D70DA9"/>
    <w:rsid w:val="00D718A5"/>
    <w:rsid w:val="00D72819"/>
    <w:rsid w:val="00D77141"/>
    <w:rsid w:val="00D82B67"/>
    <w:rsid w:val="00D846F2"/>
    <w:rsid w:val="00D84F1F"/>
    <w:rsid w:val="00D851E9"/>
    <w:rsid w:val="00D86F5D"/>
    <w:rsid w:val="00D9242E"/>
    <w:rsid w:val="00D94B1F"/>
    <w:rsid w:val="00D9766E"/>
    <w:rsid w:val="00DA1345"/>
    <w:rsid w:val="00DA33E6"/>
    <w:rsid w:val="00DA5004"/>
    <w:rsid w:val="00DB0118"/>
    <w:rsid w:val="00DB4B2F"/>
    <w:rsid w:val="00DB6064"/>
    <w:rsid w:val="00DB717A"/>
    <w:rsid w:val="00DB73F6"/>
    <w:rsid w:val="00DB7A4E"/>
    <w:rsid w:val="00DC01A6"/>
    <w:rsid w:val="00DC06F0"/>
    <w:rsid w:val="00DC0D67"/>
    <w:rsid w:val="00DC1880"/>
    <w:rsid w:val="00DC31F4"/>
    <w:rsid w:val="00DC7950"/>
    <w:rsid w:val="00DD16C5"/>
    <w:rsid w:val="00DD420F"/>
    <w:rsid w:val="00DD7065"/>
    <w:rsid w:val="00DE04E5"/>
    <w:rsid w:val="00DE0938"/>
    <w:rsid w:val="00DE2AAD"/>
    <w:rsid w:val="00DE2F23"/>
    <w:rsid w:val="00DE3397"/>
    <w:rsid w:val="00DE7783"/>
    <w:rsid w:val="00DE78D4"/>
    <w:rsid w:val="00DF23E2"/>
    <w:rsid w:val="00DF2714"/>
    <w:rsid w:val="00E054E8"/>
    <w:rsid w:val="00E07C89"/>
    <w:rsid w:val="00E1081B"/>
    <w:rsid w:val="00E118F6"/>
    <w:rsid w:val="00E11B89"/>
    <w:rsid w:val="00E1618E"/>
    <w:rsid w:val="00E16F08"/>
    <w:rsid w:val="00E17C37"/>
    <w:rsid w:val="00E20D5F"/>
    <w:rsid w:val="00E231DD"/>
    <w:rsid w:val="00E23676"/>
    <w:rsid w:val="00E2658E"/>
    <w:rsid w:val="00E26FB7"/>
    <w:rsid w:val="00E270CF"/>
    <w:rsid w:val="00E27E4A"/>
    <w:rsid w:val="00E3088E"/>
    <w:rsid w:val="00E30D6E"/>
    <w:rsid w:val="00E31A77"/>
    <w:rsid w:val="00E339E5"/>
    <w:rsid w:val="00E35D5D"/>
    <w:rsid w:val="00E35D5F"/>
    <w:rsid w:val="00E373D8"/>
    <w:rsid w:val="00E37429"/>
    <w:rsid w:val="00E374C9"/>
    <w:rsid w:val="00E42E04"/>
    <w:rsid w:val="00E439C1"/>
    <w:rsid w:val="00E465E4"/>
    <w:rsid w:val="00E517DE"/>
    <w:rsid w:val="00E52C16"/>
    <w:rsid w:val="00E52DBD"/>
    <w:rsid w:val="00E5319D"/>
    <w:rsid w:val="00E53899"/>
    <w:rsid w:val="00E55C4F"/>
    <w:rsid w:val="00E56ED1"/>
    <w:rsid w:val="00E56FCA"/>
    <w:rsid w:val="00E579F7"/>
    <w:rsid w:val="00E62169"/>
    <w:rsid w:val="00E635F3"/>
    <w:rsid w:val="00E6376E"/>
    <w:rsid w:val="00E656D2"/>
    <w:rsid w:val="00E67495"/>
    <w:rsid w:val="00E70073"/>
    <w:rsid w:val="00E754F6"/>
    <w:rsid w:val="00E7567F"/>
    <w:rsid w:val="00E75D93"/>
    <w:rsid w:val="00E80D73"/>
    <w:rsid w:val="00E822F7"/>
    <w:rsid w:val="00E8352C"/>
    <w:rsid w:val="00E83DF6"/>
    <w:rsid w:val="00E84D1D"/>
    <w:rsid w:val="00E85E9B"/>
    <w:rsid w:val="00EA27CF"/>
    <w:rsid w:val="00EA4694"/>
    <w:rsid w:val="00EA5271"/>
    <w:rsid w:val="00EA71D1"/>
    <w:rsid w:val="00EB0485"/>
    <w:rsid w:val="00EB0985"/>
    <w:rsid w:val="00EB1185"/>
    <w:rsid w:val="00EB2150"/>
    <w:rsid w:val="00EB4DBE"/>
    <w:rsid w:val="00EB60EB"/>
    <w:rsid w:val="00EB7256"/>
    <w:rsid w:val="00EC1EA1"/>
    <w:rsid w:val="00EC4825"/>
    <w:rsid w:val="00EC615B"/>
    <w:rsid w:val="00EC788B"/>
    <w:rsid w:val="00ED1F68"/>
    <w:rsid w:val="00ED3D32"/>
    <w:rsid w:val="00ED5DAC"/>
    <w:rsid w:val="00ED703D"/>
    <w:rsid w:val="00ED7EB3"/>
    <w:rsid w:val="00EE10DB"/>
    <w:rsid w:val="00EE14C9"/>
    <w:rsid w:val="00EE40F4"/>
    <w:rsid w:val="00EE47EA"/>
    <w:rsid w:val="00EE62EE"/>
    <w:rsid w:val="00EF196B"/>
    <w:rsid w:val="00EF27D8"/>
    <w:rsid w:val="00EF5F57"/>
    <w:rsid w:val="00EF6250"/>
    <w:rsid w:val="00F02714"/>
    <w:rsid w:val="00F02FFB"/>
    <w:rsid w:val="00F040B1"/>
    <w:rsid w:val="00F05CA1"/>
    <w:rsid w:val="00F11F8B"/>
    <w:rsid w:val="00F12476"/>
    <w:rsid w:val="00F13B7B"/>
    <w:rsid w:val="00F1487B"/>
    <w:rsid w:val="00F148ED"/>
    <w:rsid w:val="00F14E47"/>
    <w:rsid w:val="00F17F5C"/>
    <w:rsid w:val="00F2073F"/>
    <w:rsid w:val="00F20E5D"/>
    <w:rsid w:val="00F25A64"/>
    <w:rsid w:val="00F25B4B"/>
    <w:rsid w:val="00F33ACA"/>
    <w:rsid w:val="00F3494F"/>
    <w:rsid w:val="00F37DAC"/>
    <w:rsid w:val="00F40048"/>
    <w:rsid w:val="00F40B80"/>
    <w:rsid w:val="00F4632F"/>
    <w:rsid w:val="00F467C6"/>
    <w:rsid w:val="00F46B3C"/>
    <w:rsid w:val="00F47529"/>
    <w:rsid w:val="00F5066B"/>
    <w:rsid w:val="00F50BBC"/>
    <w:rsid w:val="00F5222C"/>
    <w:rsid w:val="00F52978"/>
    <w:rsid w:val="00F53FF2"/>
    <w:rsid w:val="00F560BD"/>
    <w:rsid w:val="00F56436"/>
    <w:rsid w:val="00F57949"/>
    <w:rsid w:val="00F611A8"/>
    <w:rsid w:val="00F612CF"/>
    <w:rsid w:val="00F618D4"/>
    <w:rsid w:val="00F63BD8"/>
    <w:rsid w:val="00F63DEF"/>
    <w:rsid w:val="00F64544"/>
    <w:rsid w:val="00F66E6B"/>
    <w:rsid w:val="00F67A9F"/>
    <w:rsid w:val="00F749E3"/>
    <w:rsid w:val="00F760D6"/>
    <w:rsid w:val="00F76A9C"/>
    <w:rsid w:val="00F77404"/>
    <w:rsid w:val="00F77703"/>
    <w:rsid w:val="00F80EB6"/>
    <w:rsid w:val="00F83F88"/>
    <w:rsid w:val="00F84CBD"/>
    <w:rsid w:val="00F8543E"/>
    <w:rsid w:val="00F862D0"/>
    <w:rsid w:val="00F87A77"/>
    <w:rsid w:val="00F87ECC"/>
    <w:rsid w:val="00F91781"/>
    <w:rsid w:val="00F91D55"/>
    <w:rsid w:val="00F926B1"/>
    <w:rsid w:val="00F95C4B"/>
    <w:rsid w:val="00F95DE5"/>
    <w:rsid w:val="00F96B7A"/>
    <w:rsid w:val="00FA0142"/>
    <w:rsid w:val="00FA418E"/>
    <w:rsid w:val="00FA6D50"/>
    <w:rsid w:val="00FB007D"/>
    <w:rsid w:val="00FB0B1E"/>
    <w:rsid w:val="00FB1B9B"/>
    <w:rsid w:val="00FB3B17"/>
    <w:rsid w:val="00FC1587"/>
    <w:rsid w:val="00FC26C4"/>
    <w:rsid w:val="00FC4A17"/>
    <w:rsid w:val="00FC5096"/>
    <w:rsid w:val="00FC6EAC"/>
    <w:rsid w:val="00FD0E9A"/>
    <w:rsid w:val="00FD0EF1"/>
    <w:rsid w:val="00FD2EB5"/>
    <w:rsid w:val="00FD4D4D"/>
    <w:rsid w:val="00FE21B2"/>
    <w:rsid w:val="00FE2A56"/>
    <w:rsid w:val="00FE44D4"/>
    <w:rsid w:val="00FE46F4"/>
    <w:rsid w:val="00FE5062"/>
    <w:rsid w:val="00FE69B5"/>
    <w:rsid w:val="00FF0081"/>
    <w:rsid w:val="00FF115B"/>
    <w:rsid w:val="00FF3623"/>
    <w:rsid w:val="00FF36A5"/>
    <w:rsid w:val="00FF410C"/>
    <w:rsid w:val="00FF4ABC"/>
    <w:rsid w:val="00FF5297"/>
    <w:rsid w:val="00FF7A97"/>
    <w:rsid w:val="00FF7C9C"/>
    <w:rsid w:val="01BBFF2B"/>
    <w:rsid w:val="02B63D1D"/>
    <w:rsid w:val="031CA792"/>
    <w:rsid w:val="040F52CA"/>
    <w:rsid w:val="04C7945C"/>
    <w:rsid w:val="06BBFEDE"/>
    <w:rsid w:val="077EC466"/>
    <w:rsid w:val="08741E5B"/>
    <w:rsid w:val="0892C046"/>
    <w:rsid w:val="09A33AA6"/>
    <w:rsid w:val="09EBB2D2"/>
    <w:rsid w:val="0B171270"/>
    <w:rsid w:val="0B84D034"/>
    <w:rsid w:val="0B96DBDE"/>
    <w:rsid w:val="0C40CEB8"/>
    <w:rsid w:val="0D25003A"/>
    <w:rsid w:val="0D40E7C5"/>
    <w:rsid w:val="0E50488D"/>
    <w:rsid w:val="10E2E564"/>
    <w:rsid w:val="1123D06A"/>
    <w:rsid w:val="1209287E"/>
    <w:rsid w:val="12CD2631"/>
    <w:rsid w:val="138D174B"/>
    <w:rsid w:val="139CBD3A"/>
    <w:rsid w:val="13D54792"/>
    <w:rsid w:val="1595C170"/>
    <w:rsid w:val="15A5E0E1"/>
    <w:rsid w:val="17E5694A"/>
    <w:rsid w:val="19598E23"/>
    <w:rsid w:val="19765E86"/>
    <w:rsid w:val="1AF392E7"/>
    <w:rsid w:val="1C5882D9"/>
    <w:rsid w:val="1C7413A5"/>
    <w:rsid w:val="1CBEDDAD"/>
    <w:rsid w:val="1D145EB3"/>
    <w:rsid w:val="1D437FE3"/>
    <w:rsid w:val="1E4A50AB"/>
    <w:rsid w:val="1E5F55C3"/>
    <w:rsid w:val="1EB33D76"/>
    <w:rsid w:val="1EF03C8A"/>
    <w:rsid w:val="2075DDC0"/>
    <w:rsid w:val="2195AB32"/>
    <w:rsid w:val="2195C55D"/>
    <w:rsid w:val="22341243"/>
    <w:rsid w:val="2251205E"/>
    <w:rsid w:val="22E13E76"/>
    <w:rsid w:val="23E3F289"/>
    <w:rsid w:val="243D9C9A"/>
    <w:rsid w:val="25690BDE"/>
    <w:rsid w:val="25F8921C"/>
    <w:rsid w:val="27E32F43"/>
    <w:rsid w:val="281E39F3"/>
    <w:rsid w:val="2B72951F"/>
    <w:rsid w:val="31034D93"/>
    <w:rsid w:val="316E0CD2"/>
    <w:rsid w:val="317250C9"/>
    <w:rsid w:val="31A53CFF"/>
    <w:rsid w:val="32D35125"/>
    <w:rsid w:val="32E0DCEB"/>
    <w:rsid w:val="356495B5"/>
    <w:rsid w:val="362AC6E9"/>
    <w:rsid w:val="36AE68B0"/>
    <w:rsid w:val="3817F41C"/>
    <w:rsid w:val="388097E6"/>
    <w:rsid w:val="39C76A3B"/>
    <w:rsid w:val="3D5B7133"/>
    <w:rsid w:val="3E6C727E"/>
    <w:rsid w:val="3ECE4EDD"/>
    <w:rsid w:val="3EF22B01"/>
    <w:rsid w:val="3F54B678"/>
    <w:rsid w:val="3F7E5758"/>
    <w:rsid w:val="404D17E6"/>
    <w:rsid w:val="40CA9480"/>
    <w:rsid w:val="40E880E8"/>
    <w:rsid w:val="40EA9B65"/>
    <w:rsid w:val="428D00C0"/>
    <w:rsid w:val="429635E4"/>
    <w:rsid w:val="4337722D"/>
    <w:rsid w:val="43AB7FFB"/>
    <w:rsid w:val="45BEFC50"/>
    <w:rsid w:val="46178D16"/>
    <w:rsid w:val="47CA2179"/>
    <w:rsid w:val="48A5D4AA"/>
    <w:rsid w:val="493E4D10"/>
    <w:rsid w:val="4946F3F1"/>
    <w:rsid w:val="4B3EF1C2"/>
    <w:rsid w:val="4DCC0A2F"/>
    <w:rsid w:val="4F87ED01"/>
    <w:rsid w:val="50599811"/>
    <w:rsid w:val="511DD9FC"/>
    <w:rsid w:val="526021BC"/>
    <w:rsid w:val="53E6D73E"/>
    <w:rsid w:val="53FB2E58"/>
    <w:rsid w:val="54F8C2F6"/>
    <w:rsid w:val="55E4D24E"/>
    <w:rsid w:val="573A91C2"/>
    <w:rsid w:val="57E16DD6"/>
    <w:rsid w:val="58D30C3D"/>
    <w:rsid w:val="596404CD"/>
    <w:rsid w:val="5A2ACD98"/>
    <w:rsid w:val="5A549D53"/>
    <w:rsid w:val="5C633FE4"/>
    <w:rsid w:val="5DB48335"/>
    <w:rsid w:val="5ED019F0"/>
    <w:rsid w:val="60062CD0"/>
    <w:rsid w:val="61637CB3"/>
    <w:rsid w:val="62E3A5EA"/>
    <w:rsid w:val="638E64B3"/>
    <w:rsid w:val="65B5D74C"/>
    <w:rsid w:val="66660012"/>
    <w:rsid w:val="68A0523C"/>
    <w:rsid w:val="69EE9317"/>
    <w:rsid w:val="6A467816"/>
    <w:rsid w:val="6ABD1D24"/>
    <w:rsid w:val="6B0E2A52"/>
    <w:rsid w:val="6B13E5F2"/>
    <w:rsid w:val="6C7963AE"/>
    <w:rsid w:val="6CD38279"/>
    <w:rsid w:val="6DBDFD51"/>
    <w:rsid w:val="6FB26674"/>
    <w:rsid w:val="7076AF12"/>
    <w:rsid w:val="7189DE69"/>
    <w:rsid w:val="735AF7CF"/>
    <w:rsid w:val="735BFB64"/>
    <w:rsid w:val="737D4222"/>
    <w:rsid w:val="755B6C68"/>
    <w:rsid w:val="75B7CC25"/>
    <w:rsid w:val="769E38A4"/>
    <w:rsid w:val="783B5564"/>
    <w:rsid w:val="7A8AD7A6"/>
    <w:rsid w:val="7CC1B472"/>
    <w:rsid w:val="7D088299"/>
    <w:rsid w:val="7EE01800"/>
    <w:rsid w:val="7F17AB2E"/>
    <w:rsid w:val="7F9B8C79"/>
    <w:rsid w:val="7FCDA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741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rPr>
  </w:style>
  <w:style w:type="paragraph" w:customStyle="1" w:styleId="Term">
    <w:name w:val="Term"/>
    <w:basedOn w:val="Normal"/>
    <w:next w:val="Normal"/>
    <w:pPr>
      <w:keepNext/>
      <w:spacing w:after="60"/>
      <w:ind w:left="360"/>
    </w:pPr>
    <w:rPr>
      <w:rFonts w:ascii="Arial" w:hAnsi="Arial"/>
      <w:b/>
      <w:sz w:val="22"/>
      <w:szCs w:val="20"/>
    </w:rPr>
  </w:style>
  <w:style w:type="paragraph" w:customStyle="1" w:styleId="Bullet">
    <w:name w:val="Bullet"/>
    <w:basedOn w:val="Normal"/>
    <w:pPr>
      <w:spacing w:before="60" w:after="60"/>
      <w:ind w:left="1080" w:hanging="360"/>
    </w:pPr>
    <w:rPr>
      <w:rFonts w:ascii="Arial" w:hAnsi="Arial"/>
      <w:sz w:val="22"/>
      <w:szCs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eastAsia="zh-CN"/>
    </w:rPr>
  </w:style>
  <w:style w:type="paragraph" w:customStyle="1" w:styleId="Default">
    <w:name w:val="Default"/>
    <w:rsid w:val="00125058"/>
    <w:pPr>
      <w:autoSpaceDE w:val="0"/>
      <w:autoSpaceDN w:val="0"/>
      <w:adjustRightInd w:val="0"/>
    </w:pPr>
    <w:rPr>
      <w:rFonts w:ascii="Calibri" w:eastAsia="SimSun" w:hAnsi="Calibri" w:cs="Calibri"/>
      <w:color w:val="000000"/>
      <w:sz w:val="24"/>
      <w:szCs w:val="24"/>
      <w:lang w:eastAsia="zh-CN"/>
    </w:rPr>
  </w:style>
  <w:style w:type="paragraph" w:styleId="NoSpacing">
    <w:name w:val="No Spacing"/>
    <w:basedOn w:val="Normal"/>
    <w:uiPriority w:val="1"/>
    <w:qFormat/>
    <w:rsid w:val="00125058"/>
    <w:rPr>
      <w:rFonts w:ascii="Calibri" w:eastAsia="Calibri" w:hAnsi="Calibri" w:cs="Calibri"/>
      <w:sz w:val="22"/>
      <w:szCs w:val="22"/>
      <w:lang w:eastAsia="ja-JP"/>
    </w:rPr>
  </w:style>
  <w:style w:type="character" w:styleId="HTMLCite">
    <w:name w:val="HTML Cite"/>
    <w:uiPriority w:val="99"/>
    <w:unhideWhenUsed/>
    <w:rsid w:val="005965D7"/>
    <w:rPr>
      <w:i/>
      <w:iCs/>
    </w:rPr>
  </w:style>
  <w:style w:type="character" w:customStyle="1" w:styleId="FooterChar">
    <w:name w:val="Footer Char"/>
    <w:link w:val="Footer"/>
    <w:uiPriority w:val="99"/>
    <w:rsid w:val="00573C87"/>
    <w:rPr>
      <w:sz w:val="24"/>
      <w:szCs w:val="24"/>
    </w:rPr>
  </w:style>
  <w:style w:type="paragraph" w:customStyle="1" w:styleId="xmsolistparagraph">
    <w:name w:val="x_msolistparagraph"/>
    <w:basedOn w:val="Normal"/>
    <w:rsid w:val="009B724F"/>
    <w:pPr>
      <w:spacing w:before="100" w:beforeAutospacing="1" w:after="100" w:afterAutospacing="1"/>
    </w:pPr>
  </w:style>
  <w:style w:type="paragraph" w:styleId="NormalWeb">
    <w:name w:val="Normal (Web)"/>
    <w:basedOn w:val="Normal"/>
    <w:uiPriority w:val="99"/>
    <w:unhideWhenUsed/>
    <w:rsid w:val="00A910C5"/>
    <w:pPr>
      <w:spacing w:before="100" w:beforeAutospacing="1" w:after="100" w:afterAutospacing="1"/>
    </w:pPr>
    <w:rPr>
      <w:lang w:val="fr-FR" w:eastAsia="fr-FR"/>
    </w:rPr>
  </w:style>
  <w:style w:type="paragraph" w:customStyle="1" w:styleId="paragraph">
    <w:name w:val="paragraph"/>
    <w:basedOn w:val="Normal"/>
    <w:rsid w:val="00B62FB8"/>
    <w:pPr>
      <w:spacing w:before="100" w:beforeAutospacing="1" w:after="100" w:afterAutospacing="1"/>
    </w:pPr>
  </w:style>
  <w:style w:type="character" w:customStyle="1" w:styleId="normaltextrun">
    <w:name w:val="normaltextrun"/>
    <w:rsid w:val="00B62FB8"/>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B62FB8"/>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B62FB8"/>
    <w:rPr>
      <w:sz w:val="24"/>
      <w:szCs w:val="24"/>
      <w:lang w:val="en-GB" w:eastAsia="en-US"/>
    </w:rPr>
  </w:style>
  <w:style w:type="paragraph" w:styleId="Revision">
    <w:name w:val="Revision"/>
    <w:hidden/>
    <w:uiPriority w:val="71"/>
    <w:unhideWhenUsed/>
    <w:rsid w:val="00E1618E"/>
    <w:rPr>
      <w:sz w:val="24"/>
      <w:szCs w:val="24"/>
      <w:lang w:val="en-GB"/>
    </w:rPr>
  </w:style>
  <w:style w:type="character" w:customStyle="1" w:styleId="CommentTextChar">
    <w:name w:val="Comment Text Char"/>
    <w:basedOn w:val="DefaultParagraphFont"/>
    <w:link w:val="CommentText"/>
    <w:uiPriority w:val="99"/>
    <w:semiHidden/>
    <w:rsid w:val="007814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990211333">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28220793">
      <w:bodyDiv w:val="1"/>
      <w:marLeft w:val="0"/>
      <w:marRight w:val="0"/>
      <w:marTop w:val="0"/>
      <w:marBottom w:val="0"/>
      <w:divBdr>
        <w:top w:val="none" w:sz="0" w:space="0" w:color="auto"/>
        <w:left w:val="none" w:sz="0" w:space="0" w:color="auto"/>
        <w:bottom w:val="none" w:sz="0" w:space="0" w:color="auto"/>
        <w:right w:val="none" w:sz="0" w:space="0" w:color="auto"/>
      </w:divBdr>
    </w:div>
    <w:div w:id="1734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ress/en/2020/sgsm20018.doc.htm" TargetMode="External"/><Relationship Id="rId18" Type="http://schemas.openxmlformats.org/officeDocument/2006/relationships/header" Target="header3.xml"/><Relationship Id="rId26" Type="http://schemas.openxmlformats.org/officeDocument/2006/relationships/customXml" Target="../customXml/item7.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2020-12-16T20:00:00+00:00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2021-04-30T04:00:00+00:00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00121170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ATLASPDC-4-127184</_dlc_DocId>
    <_dlc_DocIdUrl xmlns="f1161f5b-24a3-4c2d-bc81-44cb9325e8ee">
      <Url>https://info.undp.org/docs/pdc/_layouts/DocIdRedir.aspx?ID=ATLASPDC-4-127184</Url>
      <Description>ATLASPDC-4-127184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897F24-0174-4329-82BB-F3F3F8FFF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557C0-8BA0-447D-9960-0B0D3E1A83F5}"/>
</file>

<file path=customXml/itemProps3.xml><?xml version="1.0" encoding="utf-8"?>
<ds:datastoreItem xmlns:ds="http://schemas.openxmlformats.org/officeDocument/2006/customXml" ds:itemID="{8B4F894A-7DE4-45BD-8D9D-F0A14E56494B}">
  <ds:schemaRefs>
    <ds:schemaRef ds:uri="http://schemas.microsoft.com/sharepoint/v3/contenttype/forms"/>
  </ds:schemaRefs>
</ds:datastoreItem>
</file>

<file path=customXml/itemProps4.xml><?xml version="1.0" encoding="utf-8"?>
<ds:datastoreItem xmlns:ds="http://schemas.openxmlformats.org/officeDocument/2006/customXml" ds:itemID="{7850F543-C612-4984-B54E-899E09746DF2}">
  <ds:schemaRefs>
    <ds:schemaRef ds:uri="http://schemas.microsoft.com/office/2006/metadata/longProperties"/>
  </ds:schemaRefs>
</ds:datastoreItem>
</file>

<file path=customXml/itemProps5.xml><?xml version="1.0" encoding="utf-8"?>
<ds:datastoreItem xmlns:ds="http://schemas.openxmlformats.org/officeDocument/2006/customXml" ds:itemID="{4D79A2B0-83AF-4992-84EC-FBEAD198CAAC}">
  <ds:schemaRefs>
    <ds:schemaRef ds:uri="http://schemas.openxmlformats.org/officeDocument/2006/bibliography"/>
  </ds:schemaRefs>
</ds:datastoreItem>
</file>

<file path=customXml/itemProps6.xml><?xml version="1.0" encoding="utf-8"?>
<ds:datastoreItem xmlns:ds="http://schemas.openxmlformats.org/officeDocument/2006/customXml" ds:itemID="{A3F11AB2-DF55-4CB6-A2D2-3E31198E29C3}"/>
</file>

<file path=customXml/itemProps7.xml><?xml version="1.0" encoding="utf-8"?>
<ds:datastoreItem xmlns:ds="http://schemas.openxmlformats.org/officeDocument/2006/customXml" ds:itemID="{B220EC57-C1CC-4708-93F7-9B4DCF63248B}"/>
</file>

<file path=docProps/app.xml><?xml version="1.0" encoding="utf-8"?>
<Properties xmlns="http://schemas.openxmlformats.org/officeDocument/2006/extended-properties" xmlns:vt="http://schemas.openxmlformats.org/officeDocument/2006/docPropsVTypes">
  <Template>Normal</Template>
  <TotalTime>0</TotalTime>
  <Pages>10</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2020-12-16T19:05:00Z</dcterms:created>
  <dcterms:modified xsi:type="dcterms:W3CDTF">2020-12-16T19:05:00Z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42478b22-1bab-46df-9c8d-97a6af575cf5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